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E75B6"/>
          <w:spacing w:val="60"/>
          <w:sz w:val="18"/>
          <w:szCs w:val="18"/>
        </w:rPr>
        <w:t xml:space="preserve">CASE STUDY</w:t>
      </w:r>
    </w:p>
    <w:p>
      <w:pPr>
        <w:spacing w:after="40"/>
      </w:pPr>
      <w:r>
        <w:rPr>
          <w:rFonts w:ascii="Calibri" w:cs="Calibri" w:eastAsia="Calibri" w:hAnsi="Calibri"/>
          <w:b/>
          <w:bCs/>
          <w:color w:val="1B365D"/>
          <w:sz w:val="32"/>
          <w:szCs w:val="32"/>
        </w:rPr>
        <w:t xml:space="preserve">Educación médica continua certificada en 8 semanas: orquestación de un programa multinacional sobre microbiota</w:t>
      </w:r>
    </w:p>
    <w:p>
      <w:pPr>
        <w:pBdr>
          <w:bottom w:val="single" w:color="2E75B6" w:sz="8" w:space="6"/>
        </w:pBdr>
        <w:spacing w:after="200"/>
      </w:pPr>
      <w:r>
        <w:rPr>
          <w:rFonts w:ascii="Calibri" w:cs="Calibri" w:eastAsia="Calibri" w:hAnsi="Calibri"/>
          <w:i/>
          <w:iCs/>
          <w:color w:val="707070"/>
          <w:sz w:val="18"/>
          <w:szCs w:val="18"/>
        </w:rPr>
        <w:t xml:space="preserve">Cliente: Universidad de los Andes — Facultad de Medicina  |  Cliente corporativo: Sanofi CHC  |  Aliado académico: Sociedad Iberoamericana de Microbiota, Probióticos y Prebióticos  |  Año: 2022</w:t>
      </w:r>
    </w:p>
    <w:p>
      <w:pPr>
        <w:pStyle w:val="Heading2"/>
        <w:spacing w:after="100" w:before="240"/>
      </w:pPr>
      <w:r>
        <w:rPr>
          <w:rFonts w:ascii="Calibri" w:cs="Calibri" w:eastAsia="Calibri" w:hAnsi="Calibri"/>
          <w:b/>
          <w:bCs/>
          <w:color w:val="1B365D"/>
          <w:sz w:val="26"/>
          <w:szCs w:val="26"/>
        </w:rPr>
        <w:t xml:space="preserve">Resumen ejecutivo</w:t>
      </w:r>
    </w:p>
    <w:p>
      <w:pPr>
        <w:spacing w:after="120" w:line="300"/>
        <w:jc w:val="both"/>
      </w:pPr>
      <w:r>
        <w:rPr>
          <w:rFonts w:ascii="Calibri" w:cs="Calibri" w:eastAsia="Calibri" w:hAnsi="Calibri"/>
          <w:b w:val="false"/>
          <w:bCs w:val="false"/>
          <w:i w:val="false"/>
          <w:iCs w:val="false"/>
          <w:color w:val="404040"/>
          <w:sz w:val="22"/>
          <w:szCs w:val="22"/>
        </w:rPr>
        <w:t xml:space="preserve">En 2022, la Facultad de Medicina de la Universidad de los Andes enfrentó un reto poco común: producir, virtualizar y lanzar </w:t>
      </w:r>
      <w:r>
        <w:rPr>
          <w:rFonts w:ascii="Calibri" w:cs="Calibri" w:eastAsia="Calibri" w:hAnsi="Calibri"/>
          <w:b/>
          <w:bCs/>
          <w:i w:val="false"/>
          <w:iCs w:val="false"/>
          <w:color w:val="404040"/>
          <w:sz w:val="22"/>
          <w:szCs w:val="22"/>
        </w:rPr>
        <w:t xml:space="preserve">dos programas certificados de educación médica continua sobre microbiota, probióticos y prebióticos en una ventana de ocho semanas</w:t>
      </w:r>
      <w:r>
        <w:rPr>
          <w:rFonts w:ascii="Calibri" w:cs="Calibri" w:eastAsia="Calibri" w:hAnsi="Calibri"/>
          <w:b w:val="false"/>
          <w:bCs w:val="false"/>
          <w:i w:val="false"/>
          <w:iCs w:val="false"/>
          <w:color w:val="404040"/>
          <w:sz w:val="22"/>
          <w:szCs w:val="22"/>
        </w:rPr>
        <w:t xml:space="preserve">, para atender a su cliente corporativo Sanofi CHC y a dos audiencias clínicas distintas —médicos generales y pediatras de toda Latinoamérica, y alergólogos con foco clínico especializado—. La universidad contaba con capacidad académica de primer nivel, pero la ventana de tiempo no daba espacio para un ciclo tradicional de diseño, virtualización y producción interna.</w:t>
      </w:r>
    </w:p>
    <w:p>
      <w:pPr>
        <w:spacing w:after="120" w:line="300"/>
        <w:jc w:val="both"/>
      </w:pPr>
      <w:r>
        <w:rPr>
          <w:rFonts w:ascii="Calibri" w:cs="Calibri" w:eastAsia="Calibri" w:hAnsi="Calibri"/>
          <w:b w:val="false"/>
          <w:bCs w:val="false"/>
          <w:i w:val="false"/>
          <w:iCs w:val="false"/>
          <w:color w:val="404040"/>
          <w:sz w:val="22"/>
          <w:szCs w:val="22"/>
        </w:rPr>
        <w:t xml:space="preserve">merahki.ai entró como orquestador del proyecto: aceleramos el diseño instruccional con los expertos académicos, seleccionamos las herramientas interactivas que mejor evidenciaban el aprendizaje, virtualizamos el contenido bajo nuestro modelo modular —</w:t>
      </w:r>
      <w:r>
        <w:rPr>
          <w:rFonts w:ascii="Calibri" w:cs="Calibri" w:eastAsia="Calibri" w:hAnsi="Calibri"/>
          <w:b w:val="false"/>
          <w:bCs w:val="false"/>
          <w:i/>
          <w:iCs/>
          <w:color w:val="404040"/>
          <w:sz w:val="22"/>
          <w:szCs w:val="22"/>
        </w:rPr>
        <w:t xml:space="preserve">lego pedagógico</w:t>
      </w:r>
      <w:r>
        <w:rPr>
          <w:rFonts w:ascii="Calibri" w:cs="Calibri" w:eastAsia="Calibri" w:hAnsi="Calibri"/>
          <w:b w:val="false"/>
          <w:bCs w:val="false"/>
          <w:i w:val="false"/>
          <w:iCs w:val="false"/>
          <w:color w:val="404040"/>
          <w:sz w:val="22"/>
          <w:szCs w:val="22"/>
        </w:rPr>
        <w:t xml:space="preserve">—, montamos los programas en el LMS de la Universidad y automatizamos la reportería que se entregaba semana a semana a los project managers de la universidad y de Sanofi. El proyecto se desarrolló en dos fases secuenciales que materializaron el modelo modular. En la primera fase, producimos el programa para médicos generales y pediatras de Latinoamérica y entregamos </w:t>
      </w:r>
      <w:r>
        <w:rPr>
          <w:rFonts w:ascii="Calibri" w:cs="Calibri" w:eastAsia="Calibri" w:hAnsi="Calibri"/>
          <w:b/>
          <w:bCs/>
          <w:i w:val="false"/>
          <w:iCs w:val="false"/>
          <w:color w:val="404040"/>
          <w:sz w:val="22"/>
          <w:szCs w:val="22"/>
        </w:rPr>
        <w:t xml:space="preserve">95+ insignias digitales</w:t>
      </w:r>
      <w:r>
        <w:rPr>
          <w:rFonts w:ascii="Calibri" w:cs="Calibri" w:eastAsia="Calibri" w:hAnsi="Calibri"/>
          <w:b w:val="false"/>
          <w:bCs w:val="false"/>
          <w:i w:val="false"/>
          <w:iCs w:val="false"/>
          <w:color w:val="404040"/>
          <w:sz w:val="22"/>
          <w:szCs w:val="22"/>
        </w:rPr>
        <w:t xml:space="preserve"> a médicos certificados en </w:t>
      </w:r>
      <w:r>
        <w:rPr>
          <w:rFonts w:ascii="Calibri" w:cs="Calibri" w:eastAsia="Calibri" w:hAnsi="Calibri"/>
          <w:b/>
          <w:bCs/>
          <w:i w:val="false"/>
          <w:iCs w:val="false"/>
          <w:color w:val="404040"/>
          <w:sz w:val="22"/>
          <w:szCs w:val="22"/>
        </w:rPr>
        <w:t xml:space="preserve">8 países</w:t>
      </w:r>
      <w:r>
        <w:rPr>
          <w:rFonts w:ascii="Calibri" w:cs="Calibri" w:eastAsia="Calibri" w:hAnsi="Calibri"/>
          <w:b w:val="false"/>
          <w:bCs w:val="false"/>
          <w:i w:val="false"/>
          <w:iCs w:val="false"/>
          <w:color w:val="404040"/>
          <w:sz w:val="22"/>
          <w:szCs w:val="22"/>
        </w:rPr>
        <w:t xml:space="preserve">. En la segunda fase, reutilizamos esa misma base de contenido —sin volver a producir desde cero— para reestructurar la ruta formativa para una audiencia clínica especializada, y capacitamos a </w:t>
      </w:r>
      <w:r>
        <w:rPr>
          <w:rFonts w:ascii="Calibri" w:cs="Calibri" w:eastAsia="Calibri" w:hAnsi="Calibri"/>
          <w:b/>
          <w:bCs/>
          <w:i w:val="false"/>
          <w:iCs w:val="false"/>
          <w:color w:val="404040"/>
          <w:sz w:val="22"/>
          <w:szCs w:val="22"/>
        </w:rPr>
        <w:t xml:space="preserve">+200 alergólogos</w:t>
      </w:r>
      <w:r>
        <w:rPr>
          <w:rFonts w:ascii="Calibri" w:cs="Calibri" w:eastAsia="Calibri" w:hAnsi="Calibri"/>
          <w:b w:val="false"/>
          <w:bCs w:val="false"/>
          <w:i w:val="false"/>
          <w:iCs w:val="false"/>
          <w:color w:val="404040"/>
          <w:sz w:val="22"/>
          <w:szCs w:val="22"/>
        </w:rPr>
        <w:t xml:space="preserve">. Una sola inversión de producción, dos audiencias clínicas certificadas, y un activo modular reutilizable para futuros programas de upskilling y reskilling.</w:t>
      </w:r>
    </w:p>
    <w:p>
      <w:pPr>
        <w:spacing w:after="120" w:line="300"/>
        <w:jc w:val="both"/>
      </w:pPr>
      <w:r>
        <w:rPr>
          <w:rFonts w:ascii="Calibri" w:cs="Calibri" w:eastAsia="Calibri" w:hAnsi="Calibri"/>
          <w:b w:val="false"/>
          <w:bCs w:val="false"/>
          <w:i w:val="false"/>
          <w:iCs w:val="false"/>
          <w:color w:val="404040"/>
          <w:sz w:val="22"/>
          <w:szCs w:val="22"/>
        </w:rPr>
        <w:t xml:space="preserve">Este programa fue el primero de una serie de iniciativas que merahki.ai ha virtualizado para la Facultad de Medicina de la Universidad de los Andes. En conjunto, esta línea de programas ha contribuido a un crecimiento aproximado de </w:t>
      </w:r>
      <w:r>
        <w:rPr>
          <w:rFonts w:ascii="Calibri" w:cs="Calibri" w:eastAsia="Calibri" w:hAnsi="Calibri"/>
          <w:b/>
          <w:bCs/>
          <w:i w:val="false"/>
          <w:iCs w:val="false"/>
          <w:color w:val="404040"/>
          <w:sz w:val="22"/>
          <w:szCs w:val="22"/>
        </w:rPr>
        <w:t xml:space="preserve">COP $2.000 millones (~USD $550K) en la facturación de educación continua de la Facultad</w:t>
      </w:r>
      <w:r>
        <w:rPr>
          <w:rFonts w:ascii="Calibri" w:cs="Calibri" w:eastAsia="Calibri" w:hAnsi="Calibri"/>
          <w:b w:val="false"/>
          <w:bCs w:val="false"/>
          <w:i w:val="false"/>
          <w:iCs w:val="false"/>
          <w:color w:val="404040"/>
          <w:sz w:val="22"/>
          <w:szCs w:val="22"/>
        </w:rPr>
        <w:t xml:space="preserve">, según testimonio en video de Juliana González, Project Manager de la Facultad de Medicina.</w:t>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2376"/>
        <w:gridCol w:w="2376"/>
        <w:gridCol w:w="2376"/>
        <w:gridCol w:w="2376"/>
      </w:tblGrid>
      <w:tr>
        <w:tc>
          <w:tcPr>
            <w:tcW w:type="dxa" w:w="2340"/>
            <w:tcBorders>
              <w:top w:val="single" w:color="2E75B6" w:sz="4"/>
              <w:left w:val="single" w:color="2E75B6" w:sz="4"/>
              <w:bottom w:val="single" w:color="2E75B6" w:sz="4"/>
              <w:right w:val="single" w:color="2E75B6" w:sz="4"/>
            </w:tcBorders>
            <w:shd w:fill="EEF3F8" w:val="clear"/>
            <w:tcMar>
              <w:top w:type="dxa" w:w="200"/>
              <w:left w:type="dxa" w:w="140"/>
              <w:bottom w:type="dxa" w:w="200"/>
              <w:right w:type="dxa" w:w="140"/>
            </w:tcMar>
            <w:vAlign w:val="center"/>
          </w:tcPr>
          <w:p>
            <w:pPr>
              <w:spacing w:after="60"/>
              <w:jc w:val="center"/>
            </w:pPr>
            <w:r>
              <w:rPr>
                <w:rFonts w:ascii="Calibri" w:cs="Calibri" w:eastAsia="Calibri" w:hAnsi="Calibri"/>
                <w:b/>
                <w:bCs/>
                <w:color w:val="1B365D"/>
                <w:sz w:val="40"/>
                <w:szCs w:val="40"/>
              </w:rPr>
              <w:t xml:space="preserve">8 sem.</w:t>
            </w:r>
          </w:p>
          <w:p>
            <w:pPr>
              <w:spacing w:after="0"/>
              <w:jc w:val="center"/>
            </w:pPr>
            <w:r>
              <w:rPr>
                <w:rFonts w:ascii="Calibri" w:cs="Calibri" w:eastAsia="Calibri" w:hAnsi="Calibri"/>
                <w:color w:val="404040"/>
                <w:sz w:val="16"/>
                <w:szCs w:val="16"/>
              </w:rPr>
              <w:t xml:space="preserve">Ventana de producción y lanzamiento</w:t>
            </w:r>
          </w:p>
        </w:tc>
        <w:tc>
          <w:tcPr>
            <w:tcW w:type="dxa" w:w="2340"/>
            <w:tcBorders>
              <w:top w:val="single" w:color="2E75B6" w:sz="4"/>
              <w:left w:val="single" w:color="2E75B6" w:sz="4"/>
              <w:bottom w:val="single" w:color="2E75B6" w:sz="4"/>
              <w:right w:val="single" w:color="2E75B6" w:sz="4"/>
            </w:tcBorders>
            <w:shd w:fill="EEF3F8" w:val="clear"/>
            <w:tcMar>
              <w:top w:type="dxa" w:w="200"/>
              <w:left w:type="dxa" w:w="140"/>
              <w:bottom w:type="dxa" w:w="200"/>
              <w:right w:type="dxa" w:w="140"/>
            </w:tcMar>
            <w:vAlign w:val="center"/>
          </w:tcPr>
          <w:p>
            <w:pPr>
              <w:spacing w:after="60"/>
              <w:jc w:val="center"/>
            </w:pPr>
            <w:r>
              <w:rPr>
                <w:rFonts w:ascii="Calibri" w:cs="Calibri" w:eastAsia="Calibri" w:hAnsi="Calibri"/>
                <w:b/>
                <w:bCs/>
                <w:color w:val="1B365D"/>
                <w:sz w:val="40"/>
                <w:szCs w:val="40"/>
              </w:rPr>
              <w:t xml:space="preserve">95+</w:t>
            </w:r>
          </w:p>
          <w:p>
            <w:pPr>
              <w:spacing w:after="0"/>
              <w:jc w:val="center"/>
            </w:pPr>
            <w:r>
              <w:rPr>
                <w:rFonts w:ascii="Calibri" w:cs="Calibri" w:eastAsia="Calibri" w:hAnsi="Calibri"/>
                <w:color w:val="404040"/>
                <w:sz w:val="16"/>
                <w:szCs w:val="16"/>
              </w:rPr>
              <w:t xml:space="preserve">Insignias digitales entregadas</w:t>
            </w:r>
          </w:p>
        </w:tc>
        <w:tc>
          <w:tcPr>
            <w:tcW w:type="dxa" w:w="2340"/>
            <w:tcBorders>
              <w:top w:val="single" w:color="2E75B6" w:sz="4"/>
              <w:left w:val="single" w:color="2E75B6" w:sz="4"/>
              <w:bottom w:val="single" w:color="2E75B6" w:sz="4"/>
              <w:right w:val="single" w:color="2E75B6" w:sz="4"/>
            </w:tcBorders>
            <w:shd w:fill="EEF3F8" w:val="clear"/>
            <w:tcMar>
              <w:top w:type="dxa" w:w="200"/>
              <w:left w:type="dxa" w:w="140"/>
              <w:bottom w:type="dxa" w:w="200"/>
              <w:right w:type="dxa" w:w="140"/>
            </w:tcMar>
            <w:vAlign w:val="center"/>
          </w:tcPr>
          <w:p>
            <w:pPr>
              <w:spacing w:after="60"/>
              <w:jc w:val="center"/>
            </w:pPr>
            <w:r>
              <w:rPr>
                <w:rFonts w:ascii="Calibri" w:cs="Calibri" w:eastAsia="Calibri" w:hAnsi="Calibri"/>
                <w:b/>
                <w:bCs/>
                <w:color w:val="1B365D"/>
                <w:sz w:val="40"/>
                <w:szCs w:val="40"/>
              </w:rPr>
              <w:t xml:space="preserve">+200</w:t>
            </w:r>
          </w:p>
          <w:p>
            <w:pPr>
              <w:spacing w:after="0"/>
              <w:jc w:val="center"/>
            </w:pPr>
            <w:r>
              <w:rPr>
                <w:rFonts w:ascii="Calibri" w:cs="Calibri" w:eastAsia="Calibri" w:hAnsi="Calibri"/>
                <w:color w:val="404040"/>
                <w:sz w:val="16"/>
                <w:szCs w:val="16"/>
              </w:rPr>
              <w:t xml:space="preserve">Alergólogos capacitados</w:t>
            </w:r>
          </w:p>
        </w:tc>
        <w:tc>
          <w:tcPr>
            <w:tcW w:type="dxa" w:w="2340"/>
            <w:tcBorders>
              <w:top w:val="single" w:color="2E75B6" w:sz="4"/>
              <w:left w:val="single" w:color="2E75B6" w:sz="4"/>
              <w:bottom w:val="single" w:color="2E75B6" w:sz="4"/>
              <w:right w:val="single" w:color="2E75B6" w:sz="4"/>
            </w:tcBorders>
            <w:shd w:fill="EEF3F8" w:val="clear"/>
            <w:tcMar>
              <w:top w:type="dxa" w:w="200"/>
              <w:left w:type="dxa" w:w="140"/>
              <w:bottom w:type="dxa" w:w="200"/>
              <w:right w:type="dxa" w:w="140"/>
            </w:tcMar>
            <w:vAlign w:val="center"/>
          </w:tcPr>
          <w:p>
            <w:pPr>
              <w:spacing w:after="60"/>
              <w:jc w:val="center"/>
            </w:pPr>
            <w:r>
              <w:rPr>
                <w:rFonts w:ascii="Calibri" w:cs="Calibri" w:eastAsia="Calibri" w:hAnsi="Calibri"/>
                <w:b/>
                <w:bCs/>
                <w:color w:val="1B365D"/>
                <w:sz w:val="40"/>
                <w:szCs w:val="40"/>
              </w:rPr>
              <w:t xml:space="preserve">8</w:t>
            </w:r>
          </w:p>
          <w:p>
            <w:pPr>
              <w:spacing w:after="0"/>
              <w:jc w:val="center"/>
            </w:pPr>
            <w:r>
              <w:rPr>
                <w:rFonts w:ascii="Calibri" w:cs="Calibri" w:eastAsia="Calibri" w:hAnsi="Calibri"/>
                <w:color w:val="404040"/>
                <w:sz w:val="16"/>
                <w:szCs w:val="16"/>
              </w:rPr>
              <w:t xml:space="preserve">Países LATAM alcanzados</w:t>
            </w:r>
          </w:p>
        </w:tc>
      </w:tr>
    </w:tbl>
    <w:p>
      <w:pPr>
        <w:spacing w:after="80"/>
      </w:pPr>
      <w:r>
        <w:t xml:space="preserve"/>
      </w:r>
    </w:p>
    <w:p>
      <w:pPr>
        <w:pStyle w:val="Heading1"/>
        <w:pBdr>
          <w:bottom w:val="single" w:color="2E75B6" w:sz="8" w:space="4"/>
        </w:pBdr>
        <w:spacing w:after="180" w:before="360"/>
      </w:pPr>
      <w:r>
        <w:rPr>
          <w:rFonts w:ascii="Calibri" w:cs="Calibri" w:eastAsia="Calibri" w:hAnsi="Calibri"/>
          <w:b/>
          <w:bCs/>
          <w:color w:val="1B365D"/>
          <w:sz w:val="32"/>
          <w:szCs w:val="32"/>
        </w:rPr>
        <w:t xml:space="preserve">1. El cliente y los aliados</w:t>
      </w:r>
    </w:p>
    <w:p>
      <w:pPr>
        <w:spacing w:after="120" w:line="300"/>
        <w:jc w:val="both"/>
      </w:pPr>
      <w:r>
        <w:rPr>
          <w:rFonts w:ascii="Calibri" w:cs="Calibri" w:eastAsia="Calibri" w:hAnsi="Calibri"/>
          <w:b/>
          <w:bCs/>
          <w:i w:val="false"/>
          <w:iCs w:val="false"/>
          <w:color w:val="404040"/>
          <w:sz w:val="22"/>
          <w:szCs w:val="22"/>
        </w:rPr>
        <w:t xml:space="preserve">Universidad de los Andes — Facultad de Medicina (Bogotá, Colombia). </w:t>
      </w:r>
      <w:r>
        <w:rPr>
          <w:rFonts w:ascii="Calibri" w:cs="Calibri" w:eastAsia="Calibri" w:hAnsi="Calibri"/>
          <w:b w:val="false"/>
          <w:bCs w:val="false"/>
          <w:i w:val="false"/>
          <w:iCs w:val="false"/>
          <w:color w:val="404040"/>
          <w:sz w:val="22"/>
          <w:szCs w:val="22"/>
        </w:rPr>
        <w:t xml:space="preserve">Una de las facultades de medicina líderes en Latinoamérica, con una unidad activa de educación médica continua que opera un LMS institucional para distribuir su oferta de programas certificados.</w:t>
      </w:r>
    </w:p>
    <w:p>
      <w:pPr>
        <w:spacing w:after="120" w:line="300"/>
        <w:jc w:val="both"/>
      </w:pPr>
      <w:r>
        <w:rPr>
          <w:rFonts w:ascii="Calibri" w:cs="Calibri" w:eastAsia="Calibri" w:hAnsi="Calibri"/>
          <w:b/>
          <w:bCs/>
          <w:i w:val="false"/>
          <w:iCs w:val="false"/>
          <w:color w:val="404040"/>
          <w:sz w:val="22"/>
          <w:szCs w:val="22"/>
        </w:rPr>
        <w:t xml:space="preserve">Sanofi CHC (Consumer Healthcare). </w:t>
      </w:r>
      <w:r>
        <w:rPr>
          <w:rFonts w:ascii="Calibri" w:cs="Calibri" w:eastAsia="Calibri" w:hAnsi="Calibri"/>
          <w:b w:val="false"/>
          <w:bCs w:val="false"/>
          <w:i w:val="false"/>
          <w:iCs w:val="false"/>
          <w:color w:val="404040"/>
          <w:sz w:val="22"/>
          <w:szCs w:val="22"/>
        </w:rPr>
        <w:t xml:space="preserve">Cliente corporativo del proyecto. Sanofi CHC priorizó robustecer la educación médica continua en su red de profesionales aliados como parte de su estrategia de relacionamiento científico con la comunidad médica.</w:t>
      </w:r>
    </w:p>
    <w:p>
      <w:pPr>
        <w:spacing w:after="120" w:line="300"/>
        <w:jc w:val="both"/>
      </w:pPr>
      <w:r>
        <w:rPr>
          <w:rFonts w:ascii="Calibri" w:cs="Calibri" w:eastAsia="Calibri" w:hAnsi="Calibri"/>
          <w:b/>
          <w:bCs/>
          <w:i w:val="false"/>
          <w:iCs w:val="false"/>
          <w:color w:val="404040"/>
          <w:sz w:val="22"/>
          <w:szCs w:val="22"/>
        </w:rPr>
        <w:t xml:space="preserve">Sociedad Iberoamericana de Microbiota, Probióticos y Prebióticos. </w:t>
      </w:r>
      <w:r>
        <w:rPr>
          <w:rFonts w:ascii="Calibri" w:cs="Calibri" w:eastAsia="Calibri" w:hAnsi="Calibri"/>
          <w:b w:val="false"/>
          <w:bCs w:val="false"/>
          <w:i w:val="false"/>
          <w:iCs w:val="false"/>
          <w:color w:val="404040"/>
          <w:sz w:val="22"/>
          <w:szCs w:val="22"/>
        </w:rPr>
        <w:t xml:space="preserve">Aval académico regional que respaldó el rigor científico del programa y aportó visibilidad en la comunidad médica iberoamericana.</w:t>
      </w:r>
    </w:p>
    <w:p>
      <w:pPr>
        <w:spacing w:after="120" w:line="300"/>
        <w:jc w:val="both"/>
      </w:pPr>
      <w:r>
        <w:rPr>
          <w:rFonts w:ascii="Calibri" w:cs="Calibri" w:eastAsia="Calibri" w:hAnsi="Calibri"/>
          <w:b/>
          <w:bCs/>
          <w:i w:val="false"/>
          <w:iCs w:val="false"/>
          <w:color w:val="404040"/>
          <w:sz w:val="22"/>
          <w:szCs w:val="22"/>
        </w:rPr>
        <w:t xml:space="preserve">merahki.ai. </w:t>
      </w:r>
      <w:r>
        <w:rPr>
          <w:rFonts w:ascii="Calibri" w:cs="Calibri" w:eastAsia="Calibri" w:hAnsi="Calibri"/>
          <w:b w:val="false"/>
          <w:bCs w:val="false"/>
          <w:i w:val="false"/>
          <w:iCs w:val="false"/>
          <w:color w:val="404040"/>
          <w:sz w:val="22"/>
          <w:szCs w:val="22"/>
        </w:rPr>
        <w:t xml:space="preserve">Orquestador end-to-end del proyecto: diseño instruccional acelerado, virtualización modular, montaje en LMS, automatización de comunicaciones y reportería en tiempo real.</w:t>
      </w:r>
    </w:p>
    <w:p>
      <w:pPr>
        <w:pStyle w:val="Heading1"/>
        <w:pBdr>
          <w:bottom w:val="single" w:color="2E75B6" w:sz="8" w:space="4"/>
        </w:pBdr>
        <w:spacing w:after="180" w:before="360"/>
      </w:pPr>
      <w:r>
        <w:rPr>
          <w:rFonts w:ascii="Calibri" w:cs="Calibri" w:eastAsia="Calibri" w:hAnsi="Calibri"/>
          <w:b/>
          <w:bCs/>
          <w:color w:val="1B365D"/>
          <w:sz w:val="32"/>
          <w:szCs w:val="32"/>
        </w:rPr>
        <w:t xml:space="preserve">2. El desafío</w:t>
      </w:r>
    </w:p>
    <w:p>
      <w:pPr>
        <w:spacing w:after="120" w:line="300"/>
        <w:jc w:val="both"/>
      </w:pPr>
      <w:r>
        <w:rPr>
          <w:rFonts w:ascii="Calibri" w:cs="Calibri" w:eastAsia="Calibri" w:hAnsi="Calibri"/>
          <w:b w:val="false"/>
          <w:bCs w:val="false"/>
          <w:i w:val="false"/>
          <w:iCs w:val="false"/>
          <w:color w:val="404040"/>
          <w:sz w:val="22"/>
          <w:szCs w:val="22"/>
        </w:rPr>
        <w:t xml:space="preserve">Sanofi CHC, en alianza con la Facultad de Medicina de la Universidad de los Andes, se propuso desarrollar dos programas certificados sobre microbiota, probióticos y prebióticos, dirigidos a dos audiencias clínicas con perfiles y necesidades de aprendizaje distintas:</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Track 1 (primera fase): </w:t>
      </w:r>
      <w:r>
        <w:rPr>
          <w:rFonts w:ascii="Calibri" w:cs="Calibri" w:eastAsia="Calibri" w:hAnsi="Calibri"/>
          <w:b w:val="false"/>
          <w:bCs w:val="false"/>
          <w:i w:val="false"/>
          <w:iCs w:val="false"/>
          <w:color w:val="404040"/>
          <w:sz w:val="22"/>
          <w:szCs w:val="22"/>
        </w:rPr>
        <w:t xml:space="preserve">Médicos generales y pediatras de Latinoamérica.</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Track 2 (segunda fase, sobre el activo modular reestructurado): </w:t>
      </w:r>
      <w:r>
        <w:rPr>
          <w:rFonts w:ascii="Calibri" w:cs="Calibri" w:eastAsia="Calibri" w:hAnsi="Calibri"/>
          <w:b w:val="false"/>
          <w:bCs w:val="false"/>
          <w:i w:val="false"/>
          <w:iCs w:val="false"/>
          <w:color w:val="404040"/>
          <w:sz w:val="22"/>
          <w:szCs w:val="22"/>
        </w:rPr>
        <w:t xml:space="preserve">Alergólogos con foco clínico especializado.</w:t>
      </w:r>
    </w:p>
    <w:p>
      <w:pPr>
        <w:spacing w:after="60"/>
      </w:pPr>
      <w:r>
        <w:t xml:space="preserve"/>
      </w:r>
    </w:p>
    <w:p>
      <w:pPr>
        <w:spacing w:after="120" w:line="300"/>
        <w:jc w:val="both"/>
      </w:pPr>
      <w:r>
        <w:rPr>
          <w:rFonts w:ascii="Calibri" w:cs="Calibri" w:eastAsia="Calibri" w:hAnsi="Calibri"/>
          <w:b w:val="false"/>
          <w:bCs w:val="false"/>
          <w:i w:val="false"/>
          <w:iCs w:val="false"/>
          <w:color w:val="404040"/>
          <w:sz w:val="22"/>
          <w:szCs w:val="22"/>
        </w:rPr>
        <w:t xml:space="preserve">El obstáculo no era técnico ni académico. Todas las universidades de la región tienen, en alguna medida, capacidades internas para diseñar, virtualizar y producir contenido formativo. </w:t>
      </w:r>
      <w:r>
        <w:rPr>
          <w:rFonts w:ascii="Calibri" w:cs="Calibri" w:eastAsia="Calibri" w:hAnsi="Calibri"/>
          <w:b/>
          <w:bCs/>
          <w:i w:val="false"/>
          <w:iCs w:val="false"/>
          <w:color w:val="404040"/>
          <w:sz w:val="22"/>
          <w:szCs w:val="22"/>
        </w:rPr>
        <w:t xml:space="preserve">El obstáculo era el tiempo</w:t>
      </w:r>
      <w:r>
        <w:rPr>
          <w:rFonts w:ascii="Calibri" w:cs="Calibri" w:eastAsia="Calibri" w:hAnsi="Calibri"/>
          <w:b w:val="false"/>
          <w:bCs w:val="false"/>
          <w:i w:val="false"/>
          <w:iCs w:val="false"/>
          <w:color w:val="404040"/>
          <w:sz w:val="22"/>
          <w:szCs w:val="22"/>
        </w:rPr>
        <w:t xml:space="preserve">: el cronograma comercial de Sanofi y la ventana de oportunidad académica para alcanzar a la audiencia médica regional dejaban únicamente </w:t>
      </w:r>
      <w:r>
        <w:rPr>
          <w:rFonts w:ascii="Calibri" w:cs="Calibri" w:eastAsia="Calibri" w:hAnsi="Calibri"/>
          <w:b/>
          <w:bCs/>
          <w:i w:val="false"/>
          <w:iCs w:val="false"/>
          <w:color w:val="404040"/>
          <w:sz w:val="22"/>
          <w:szCs w:val="22"/>
        </w:rPr>
        <w:t xml:space="preserve">ocho semanas para producir y lanzar ambos programas</w:t>
      </w:r>
      <w:r>
        <w:rPr>
          <w:rFonts w:ascii="Calibri" w:cs="Calibri" w:eastAsia="Calibri" w:hAnsi="Calibri"/>
          <w:b w:val="false"/>
          <w:bCs w:val="false"/>
          <w:i w:val="false"/>
          <w:iCs w:val="false"/>
          <w:color w:val="404040"/>
          <w:sz w:val="22"/>
          <w:szCs w:val="22"/>
        </w:rPr>
        <w:t xml:space="preserve">. A ese plazo, un ciclo tradicional de diseño instruccional, grabación, edición, virtualización y montaje en LMS no es viable sin una capacidad de orquestación externa capaz de comprimir el cronograma sin sacrificar el estándar académico.</w:t>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9504"/>
      </w:tblGrid>
      <w:tr>
        <w:tc>
          <w:tcPr>
            <w:tcW w:type="dxa" w:w="9504"/>
            <w:tcBorders>
              <w:top w:val="none" w:color="FFFFFF" w:sz="0"/>
              <w:left w:val="single" w:color="2E75B6" w:sz="24"/>
              <w:bottom w:val="none" w:color="FFFFFF" w:sz="0"/>
              <w:right w:val="none" w:color="FFFFFF" w:sz="0"/>
            </w:tcBorders>
            <w:shd w:fill="EEF3F8" w:val="clear"/>
            <w:tcMar>
              <w:top w:type="dxa" w:w="200"/>
              <w:left w:type="dxa" w:w="240"/>
              <w:bottom w:type="dxa" w:w="200"/>
              <w:right w:type="dxa" w:w="240"/>
            </w:tcMar>
          </w:tcPr>
          <w:p>
            <w:pPr>
              <w:spacing w:after="80"/>
            </w:pPr>
            <w:r>
              <w:rPr>
                <w:rFonts w:ascii="Calibri" w:cs="Calibri" w:eastAsia="Calibri" w:hAnsi="Calibri"/>
                <w:b/>
                <w:bCs/>
                <w:color w:val="1B365D"/>
                <w:sz w:val="20"/>
                <w:szCs w:val="20"/>
              </w:rPr>
              <w:t xml:space="preserve">El insight estratégico</w:t>
            </w:r>
          </w:p>
          <w:p>
            <w:pPr>
              <w:spacing w:after="0" w:line="280"/>
              <w:jc w:val="both"/>
            </w:pPr>
            <w:r>
              <w:rPr>
                <w:rFonts w:ascii="Calibri" w:cs="Calibri" w:eastAsia="Calibri" w:hAnsi="Calibri"/>
                <w:i/>
                <w:iCs/>
                <w:color w:val="404040"/>
                <w:sz w:val="22"/>
                <w:szCs w:val="22"/>
              </w:rPr>
              <w:t xml:space="preserve">Cuando el cuello de botella no es la capacidad de producir sino la capacidad de orquestar, el aliado correcto no es un productor — es un operador integral que pueda articular al experto académico, al patrocinador corporativo, al equipo técnico de la universidad y al cronograma de lanzamiento bajo un mismo plan ejecutivo.</w:t>
            </w:r>
          </w:p>
        </w:tc>
      </w:tr>
    </w:tbl>
    <w:p>
      <w:pPr>
        <w:spacing w:after="80"/>
      </w:pPr>
      <w:r>
        <w:t xml:space="preserve"/>
      </w:r>
    </w:p>
    <w:p>
      <w:pPr>
        <w:pStyle w:val="Heading1"/>
        <w:pBdr>
          <w:bottom w:val="single" w:color="2E75B6" w:sz="8" w:space="4"/>
        </w:pBdr>
        <w:spacing w:after="180" w:before="360"/>
      </w:pPr>
      <w:r>
        <w:rPr>
          <w:rFonts w:ascii="Calibri" w:cs="Calibri" w:eastAsia="Calibri" w:hAnsi="Calibri"/>
          <w:b/>
          <w:bCs/>
          <w:color w:val="1B365D"/>
          <w:sz w:val="32"/>
          <w:szCs w:val="32"/>
        </w:rPr>
        <w:t xml:space="preserve">3. Por qué merahki.ai</w:t>
      </w:r>
    </w:p>
    <w:p>
      <w:pPr>
        <w:spacing w:after="120" w:line="300"/>
        <w:jc w:val="both"/>
      </w:pPr>
      <w:r>
        <w:rPr>
          <w:rFonts w:ascii="Calibri" w:cs="Calibri" w:eastAsia="Calibri" w:hAnsi="Calibri"/>
          <w:b w:val="false"/>
          <w:bCs w:val="false"/>
          <w:i w:val="false"/>
          <w:iCs w:val="false"/>
          <w:color w:val="404040"/>
          <w:sz w:val="22"/>
          <w:szCs w:val="22"/>
        </w:rPr>
        <w:t xml:space="preserve">La Facultad de Medicina seleccionó a merahki.ai por tres capacidades concretas que la operación necesitaba simultáneamente:</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Diseño instruccional acelerado con expertos académicos. </w:t>
      </w:r>
      <w:r>
        <w:rPr>
          <w:rFonts w:ascii="Calibri" w:cs="Calibri" w:eastAsia="Calibri" w:hAnsi="Calibri"/>
          <w:b w:val="false"/>
          <w:bCs w:val="false"/>
          <w:i w:val="false"/>
          <w:iCs w:val="false"/>
          <w:color w:val="404040"/>
          <w:sz w:val="22"/>
          <w:szCs w:val="22"/>
        </w:rPr>
        <w:t xml:space="preserve">Capacidad de sentarse con el especialista de la materia y traducir su conocimiento en una ruta de aprendizaje accionable en cuestión de días, no de meses.</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Virtualización modular reutilizable. </w:t>
      </w:r>
      <w:r>
        <w:rPr>
          <w:rFonts w:ascii="Calibri" w:cs="Calibri" w:eastAsia="Calibri" w:hAnsi="Calibri"/>
          <w:b w:val="false"/>
          <w:bCs w:val="false"/>
          <w:i w:val="false"/>
          <w:iCs w:val="false"/>
          <w:color w:val="404040"/>
          <w:sz w:val="22"/>
          <w:szCs w:val="22"/>
        </w:rPr>
        <w:t xml:space="preserve">Nuestro modelo de “virtualización tipo lego” produce unidades con inicio y fin en sí mismas que pueden reorganizarse, reestructurarse y reempaquetarse para nuevas audiencias —exactamente lo que se necesitaba para servir dos audiencias clínicas con un activo común.</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Operación y reportería en tiempo real. </w:t>
      </w:r>
      <w:r>
        <w:rPr>
          <w:rFonts w:ascii="Calibri" w:cs="Calibri" w:eastAsia="Calibri" w:hAnsi="Calibri"/>
          <w:b w:val="false"/>
          <w:bCs w:val="false"/>
          <w:i w:val="false"/>
          <w:iCs w:val="false"/>
          <w:color w:val="404040"/>
          <w:sz w:val="22"/>
          <w:szCs w:val="22"/>
        </w:rPr>
        <w:t xml:space="preserve">Capacidad de automatizar las comunicaciones de soporte, el seguimiento al participante y la reportería que llega semana a semana a los project managers de la universidad y del patrocinador corporativo, habilitando decisiones en tiempo real durante el lanzamiento.</w:t>
      </w:r>
    </w:p>
    <w:p>
      <w:pPr>
        <w:pStyle w:val="Heading1"/>
        <w:pBdr>
          <w:bottom w:val="single" w:color="2E75B6" w:sz="8" w:space="4"/>
        </w:pBdr>
        <w:spacing w:after="180" w:before="360"/>
      </w:pPr>
      <w:r>
        <w:rPr>
          <w:rFonts w:ascii="Calibri" w:cs="Calibri" w:eastAsia="Calibri" w:hAnsi="Calibri"/>
          <w:b/>
          <w:bCs/>
          <w:color w:val="1B365D"/>
          <w:sz w:val="32"/>
          <w:szCs w:val="32"/>
        </w:rPr>
        <w:t xml:space="preserve">4. Nuestra metodología</w:t>
      </w:r>
    </w:p>
    <w:p>
      <w:pPr>
        <w:spacing w:after="120" w:line="300"/>
        <w:jc w:val="both"/>
      </w:pPr>
      <w:r>
        <w:rPr>
          <w:rFonts w:ascii="Calibri" w:cs="Calibri" w:eastAsia="Calibri" w:hAnsi="Calibri"/>
          <w:b w:val="false"/>
          <w:bCs w:val="false"/>
          <w:i w:val="false"/>
          <w:iCs w:val="false"/>
          <w:color w:val="404040"/>
          <w:sz w:val="22"/>
          <w:szCs w:val="22"/>
        </w:rPr>
        <w:t xml:space="preserve">El proyecto siguió un protocolo de orquestación en cinco pasos que es el mismo que merahki.ai aplica hoy en programas certificados con universidades y patrocinadores corporativos:</w:t>
      </w:r>
    </w:p>
    <w:p>
      <w:pPr>
        <w:pStyle w:val="ListParagraph"/>
        <w:numPr>
          <w:ilvl w:val="0"/>
          <w:numId w:val="3"/>
        </w:numPr>
        <w:spacing w:after="80" w:line="280"/>
      </w:pPr>
      <w:r>
        <w:rPr>
          <w:rFonts w:ascii="Calibri" w:cs="Calibri" w:eastAsia="Calibri" w:hAnsi="Calibri"/>
          <w:b/>
          <w:bCs/>
          <w:i w:val="false"/>
          <w:iCs w:val="false"/>
          <w:color w:val="404040"/>
          <w:sz w:val="22"/>
          <w:szCs w:val="22"/>
        </w:rPr>
        <w:t xml:space="preserve">Inmersión con el experto técnico de la universidad. </w:t>
      </w:r>
      <w:r>
        <w:rPr>
          <w:rFonts w:ascii="Calibri" w:cs="Calibri" w:eastAsia="Calibri" w:hAnsi="Calibri"/>
          <w:b w:val="false"/>
          <w:bCs w:val="false"/>
          <w:i w:val="false"/>
          <w:iCs w:val="false"/>
          <w:color w:val="404040"/>
          <w:sz w:val="22"/>
          <w:szCs w:val="22"/>
        </w:rPr>
        <w:t xml:space="preserve">Sesiones de trabajo con los especialistas que diseñaron el contenido académico para alinear voz, alcance y profundidad clínica.</w:t>
      </w:r>
    </w:p>
    <w:p>
      <w:pPr>
        <w:pStyle w:val="ListParagraph"/>
        <w:numPr>
          <w:ilvl w:val="0"/>
          <w:numId w:val="3"/>
        </w:numPr>
        <w:spacing w:after="80" w:line="280"/>
      </w:pPr>
      <w:r>
        <w:rPr>
          <w:rFonts w:ascii="Calibri" w:cs="Calibri" w:eastAsia="Calibri" w:hAnsi="Calibri"/>
          <w:b/>
          <w:bCs/>
          <w:i w:val="false"/>
          <w:iCs w:val="false"/>
          <w:color w:val="404040"/>
          <w:sz w:val="22"/>
          <w:szCs w:val="22"/>
        </w:rPr>
        <w:t xml:space="preserve">Aceleración del diseño instruccional. </w:t>
      </w:r>
      <w:r>
        <w:rPr>
          <w:rFonts w:ascii="Calibri" w:cs="Calibri" w:eastAsia="Calibri" w:hAnsi="Calibri"/>
          <w:b w:val="false"/>
          <w:bCs w:val="false"/>
          <w:i w:val="false"/>
          <w:iCs w:val="false"/>
          <w:color w:val="404040"/>
          <w:sz w:val="22"/>
          <w:szCs w:val="22"/>
        </w:rPr>
        <w:t xml:space="preserve">Definición de resultados esperados de aprendizaje y de los indicadores observables que permitirían medir su cumplimiento — la columna vertebral pedagógica del programa.</w:t>
      </w:r>
    </w:p>
    <w:p>
      <w:pPr>
        <w:pStyle w:val="ListParagraph"/>
        <w:numPr>
          <w:ilvl w:val="0"/>
          <w:numId w:val="3"/>
        </w:numPr>
        <w:spacing w:after="80" w:line="280"/>
      </w:pPr>
      <w:r>
        <w:rPr>
          <w:rFonts w:ascii="Calibri" w:cs="Calibri" w:eastAsia="Calibri" w:hAnsi="Calibri"/>
          <w:b/>
          <w:bCs/>
          <w:i w:val="false"/>
          <w:iCs w:val="false"/>
          <w:color w:val="404040"/>
          <w:sz w:val="22"/>
          <w:szCs w:val="22"/>
        </w:rPr>
        <w:t xml:space="preserve">Selección de herramientas interactivas. </w:t>
      </w:r>
      <w:r>
        <w:rPr>
          <w:rFonts w:ascii="Calibri" w:cs="Calibri" w:eastAsia="Calibri" w:hAnsi="Calibri"/>
          <w:b w:val="false"/>
          <w:bCs w:val="false"/>
          <w:i w:val="false"/>
          <w:iCs w:val="false"/>
          <w:color w:val="404040"/>
          <w:sz w:val="22"/>
          <w:szCs w:val="22"/>
        </w:rPr>
        <w:t xml:space="preserve">Combinación de contenidos audiovisuales (videos, podcasts, infografías interactivas) con lecturas complementarias, diseñada para reforzar la evidencia de aprendizaje observable en cada sección.</w:t>
      </w:r>
    </w:p>
    <w:p>
      <w:pPr>
        <w:pStyle w:val="ListParagraph"/>
        <w:numPr>
          <w:ilvl w:val="0"/>
          <w:numId w:val="3"/>
        </w:numPr>
        <w:spacing w:after="80" w:line="280"/>
      </w:pPr>
      <w:r>
        <w:rPr>
          <w:rFonts w:ascii="Calibri" w:cs="Calibri" w:eastAsia="Calibri" w:hAnsi="Calibri"/>
          <w:b/>
          <w:bCs/>
          <w:i w:val="false"/>
          <w:iCs w:val="false"/>
          <w:color w:val="404040"/>
          <w:sz w:val="22"/>
          <w:szCs w:val="22"/>
        </w:rPr>
        <w:t xml:space="preserve">Virtualización modular y montaje en LMS. </w:t>
      </w:r>
      <w:r>
        <w:rPr>
          <w:rFonts w:ascii="Calibri" w:cs="Calibri" w:eastAsia="Calibri" w:hAnsi="Calibri"/>
          <w:b w:val="false"/>
          <w:bCs w:val="false"/>
          <w:i w:val="false"/>
          <w:iCs w:val="false"/>
          <w:color w:val="404040"/>
          <w:sz w:val="22"/>
          <w:szCs w:val="22"/>
        </w:rPr>
        <w:t xml:space="preserve">Producción de las unidades académicas en formato lego, con publicación directa en el LMS de la Universidad de los Andes. Cada unidad fue diseñada para tener vida propia y poder recombinarse en futuras rutas formativas.</w:t>
      </w:r>
    </w:p>
    <w:p>
      <w:pPr>
        <w:pStyle w:val="ListParagraph"/>
        <w:numPr>
          <w:ilvl w:val="0"/>
          <w:numId w:val="3"/>
        </w:numPr>
        <w:spacing w:after="80" w:line="280"/>
      </w:pPr>
      <w:r>
        <w:rPr>
          <w:rFonts w:ascii="Calibri" w:cs="Calibri" w:eastAsia="Calibri" w:hAnsi="Calibri"/>
          <w:b/>
          <w:bCs/>
          <w:i w:val="false"/>
          <w:iCs w:val="false"/>
          <w:color w:val="404040"/>
          <w:sz w:val="22"/>
          <w:szCs w:val="22"/>
        </w:rPr>
        <w:t xml:space="preserve">Automatización de comunicaciones, seguimiento y reportería. </w:t>
      </w:r>
      <w:r>
        <w:rPr>
          <w:rFonts w:ascii="Calibri" w:cs="Calibri" w:eastAsia="Calibri" w:hAnsi="Calibri"/>
          <w:b w:val="false"/>
          <w:bCs w:val="false"/>
          <w:i w:val="false"/>
          <w:iCs w:val="false"/>
          <w:color w:val="404040"/>
          <w:sz w:val="22"/>
          <w:szCs w:val="22"/>
        </w:rPr>
        <w:t xml:space="preserve">Comunicaciones de soporte al participante automatizadas, seguimiento de progreso y reportería enriquecida entregada semanalmente a los project managers de la Universidad de los Andes y de Sanofi CHC, lo que habilitó decisiones operativas en tiempo real durante el lanzamiento y contribuyó al alto porcentaje de adhesión y finalización del programa.</w:t>
      </w:r>
    </w:p>
    <w:p>
      <w:pPr>
        <w:pStyle w:val="Heading1"/>
        <w:pBdr>
          <w:bottom w:val="single" w:color="2E75B6" w:sz="8" w:space="4"/>
        </w:pBdr>
        <w:spacing w:after="180" w:before="360"/>
      </w:pPr>
      <w:r>
        <w:rPr>
          <w:rFonts w:ascii="Calibri" w:cs="Calibri" w:eastAsia="Calibri" w:hAnsi="Calibri"/>
          <w:b/>
          <w:bCs/>
          <w:color w:val="1B365D"/>
          <w:sz w:val="32"/>
          <w:szCs w:val="32"/>
        </w:rPr>
        <w:t xml:space="preserve">5. Implementación: dos tracks de audiencia, un activo modular</w:t>
      </w:r>
    </w:p>
    <w:p>
      <w:pPr>
        <w:pStyle w:val="Heading2"/>
        <w:spacing w:after="100" w:before="240"/>
      </w:pPr>
      <w:r>
        <w:rPr>
          <w:rFonts w:ascii="Calibri" w:cs="Calibri" w:eastAsia="Calibri" w:hAnsi="Calibri"/>
          <w:b/>
          <w:bCs/>
          <w:color w:val="1B365D"/>
          <w:sz w:val="26"/>
          <w:szCs w:val="26"/>
        </w:rPr>
        <w:t xml:space="preserve">5.1  Track Médicos generales y pediatras</w:t>
      </w:r>
    </w:p>
    <w:p>
      <w:pPr>
        <w:spacing w:after="120" w:line="300"/>
        <w:jc w:val="both"/>
      </w:pPr>
      <w:r>
        <w:rPr>
          <w:rFonts w:ascii="Calibri" w:cs="Calibri" w:eastAsia="Calibri" w:hAnsi="Calibri"/>
          <w:b w:val="false"/>
          <w:bCs w:val="false"/>
          <w:i w:val="false"/>
          <w:iCs w:val="false"/>
          <w:color w:val="404040"/>
          <w:sz w:val="22"/>
          <w:szCs w:val="22"/>
        </w:rPr>
        <w:t xml:space="preserve">Programa orientado a profesionales y estudiantes del área de la salud en Latinoamérica, con foco en medicina general y pediatría. Fue el primer programa producido bajo este convenio: lo construimos desde cero junto al experto académico y lo publicamos como activo modular base en el LMS de la Universidad. El contenido abordó microbioma, colonización normal y patológica, cepas microbiológicas, y los conceptos clínicos de probióticos, prebióticos, postbióticos y simbióticos.</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Resultado: </w:t>
      </w:r>
      <w:r>
        <w:rPr>
          <w:rFonts w:ascii="Calibri" w:cs="Calibri" w:eastAsia="Calibri" w:hAnsi="Calibri"/>
          <w:b w:val="false"/>
          <w:bCs w:val="false"/>
          <w:i w:val="false"/>
          <w:iCs w:val="false"/>
          <w:color w:val="404040"/>
          <w:sz w:val="22"/>
          <w:szCs w:val="22"/>
        </w:rPr>
        <w:t xml:space="preserve">más de 95 insignias digitales entregadas a médicos certificados en 8 países de Latinoamérica.</w:t>
      </w:r>
    </w:p>
    <w:p>
      <w:pPr>
        <w:pStyle w:val="Heading2"/>
        <w:spacing w:after="100" w:before="240"/>
      </w:pPr>
      <w:r>
        <w:rPr>
          <w:rFonts w:ascii="Calibri" w:cs="Calibri" w:eastAsia="Calibri" w:hAnsi="Calibri"/>
          <w:b/>
          <w:bCs/>
          <w:color w:val="1B365D"/>
          <w:sz w:val="26"/>
          <w:szCs w:val="26"/>
        </w:rPr>
        <w:t xml:space="preserve">5.2  Track Alergólogos</w:t>
      </w:r>
    </w:p>
    <w:p>
      <w:pPr>
        <w:spacing w:after="120" w:line="300"/>
        <w:jc w:val="both"/>
      </w:pPr>
      <w:r>
        <w:rPr>
          <w:rFonts w:ascii="Calibri" w:cs="Calibri" w:eastAsia="Calibri" w:hAnsi="Calibri"/>
          <w:b w:val="false"/>
          <w:bCs w:val="false"/>
          <w:i w:val="false"/>
          <w:iCs w:val="false"/>
          <w:color w:val="404040"/>
          <w:sz w:val="22"/>
          <w:szCs w:val="22"/>
        </w:rPr>
        <w:t xml:space="preserve">En la segunda fase del proyecto, reutilizamos el activo modular del programa para médicos generales y pediatras y reestructuramos la ruta formativa para una audiencia clínica especializada: la comunidad de alergólogos. Los contenidos fueron repensados —no reproducidos desde cero— para enfatizar las aplicaciones terapéuticas de probióticos en la práctica alergológica clínica. Esta segunda fase materializó la promesa de la virtualización modular: una sola inversión de producción de fondo, dos audiencias clínicas certificadas, ROI maximizado del activo académico.</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Resultado: </w:t>
      </w:r>
      <w:r>
        <w:rPr>
          <w:rFonts w:ascii="Calibri" w:cs="Calibri" w:eastAsia="Calibri" w:hAnsi="Calibri"/>
          <w:b w:val="false"/>
          <w:bCs w:val="false"/>
          <w:i w:val="false"/>
          <w:iCs w:val="false"/>
          <w:color w:val="404040"/>
          <w:sz w:val="22"/>
          <w:szCs w:val="22"/>
        </w:rPr>
        <w:t xml:space="preserve">+200 alergólogos capacitados a través del LMS de la Universidad de los Andes.</w:t>
      </w:r>
    </w:p>
    <w:p>
      <w:pPr>
        <w:spacing w:after="80"/>
      </w:pPr>
      <w:r>
        <w:t xml:space="preserve"/>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9504"/>
      </w:tblGrid>
      <w:tr>
        <w:tc>
          <w:tcPr>
            <w:tcW w:type="dxa" w:w="9504"/>
            <w:tcBorders>
              <w:top w:val="none" w:color="FFFFFF" w:sz="0"/>
              <w:left w:val="single" w:color="2E75B6" w:sz="24"/>
              <w:bottom w:val="none" w:color="FFFFFF" w:sz="0"/>
              <w:right w:val="none" w:color="FFFFFF" w:sz="0"/>
            </w:tcBorders>
            <w:shd w:fill="EEF3F8" w:val="clear"/>
            <w:tcMar>
              <w:top w:type="dxa" w:w="200"/>
              <w:left w:type="dxa" w:w="240"/>
              <w:bottom w:type="dxa" w:w="200"/>
              <w:right w:type="dxa" w:w="240"/>
            </w:tcMar>
          </w:tcPr>
          <w:p>
            <w:pPr>
              <w:spacing w:after="80"/>
            </w:pPr>
            <w:r>
              <w:rPr>
                <w:rFonts w:ascii="Calibri" w:cs="Calibri" w:eastAsia="Calibri" w:hAnsi="Calibri"/>
                <w:b/>
                <w:bCs/>
                <w:color w:val="1B365D"/>
                <w:sz w:val="20"/>
                <w:szCs w:val="20"/>
              </w:rPr>
              <w:t xml:space="preserve">Por qué el modelo lego importó</w:t>
            </w:r>
          </w:p>
          <w:p>
            <w:pPr>
              <w:spacing w:after="0" w:line="280"/>
              <w:jc w:val="both"/>
            </w:pPr>
            <w:r>
              <w:rPr>
                <w:rFonts w:ascii="Calibri" w:cs="Calibri" w:eastAsia="Calibri" w:hAnsi="Calibri"/>
                <w:i/>
                <w:iCs/>
                <w:color w:val="404040"/>
                <w:sz w:val="22"/>
                <w:szCs w:val="22"/>
              </w:rPr>
              <w:t xml:space="preserve">Una vez producido y lanzado el primer programa —el de médicos generales y pediatras—, reestructuramos la ruta formativa para una segunda audiencia clínica —los alergólogos— sin duplicar el costo de producción. Esto no es solo eficiencia — es una capacidad estructural: convertir cada programa en un activo académico recombinable para futuros ciclos de upskilling y reskilling sobre el mismo dominio de conocimiento.</w:t>
            </w:r>
          </w:p>
        </w:tc>
      </w:tr>
    </w:tbl>
    <w:p>
      <w:pPr>
        <w:spacing w:after="80"/>
      </w:pPr>
      <w:r>
        <w:t xml:space="preserve"/>
      </w:r>
    </w:p>
    <w:p>
      <w:pPr>
        <w:pStyle w:val="Heading1"/>
        <w:pBdr>
          <w:bottom w:val="single" w:color="2E75B6" w:sz="8" w:space="4"/>
        </w:pBdr>
        <w:spacing w:after="180" w:before="360"/>
      </w:pPr>
      <w:r>
        <w:rPr>
          <w:rFonts w:ascii="Calibri" w:cs="Calibri" w:eastAsia="Calibri" w:hAnsi="Calibri"/>
          <w:b/>
          <w:bCs/>
          <w:color w:val="1B365D"/>
          <w:sz w:val="32"/>
          <w:szCs w:val="32"/>
        </w:rPr>
        <w:t xml:space="preserve">6. Resultados</w:t>
      </w:r>
    </w:p>
    <w:p>
      <w:pPr>
        <w:pStyle w:val="Heading2"/>
        <w:spacing w:after="100" w:before="240"/>
      </w:pPr>
      <w:r>
        <w:rPr>
          <w:rFonts w:ascii="Calibri" w:cs="Calibri" w:eastAsia="Calibri" w:hAnsi="Calibri"/>
          <w:b/>
          <w:bCs/>
          <w:color w:val="1B365D"/>
          <w:sz w:val="26"/>
          <w:szCs w:val="26"/>
        </w:rPr>
        <w:t xml:space="preserve">6.1  Capacitación y alcance</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95+ insignias digitales </w:t>
      </w:r>
      <w:r>
        <w:rPr>
          <w:rFonts w:ascii="Calibri" w:cs="Calibri" w:eastAsia="Calibri" w:hAnsi="Calibri"/>
          <w:b w:val="false"/>
          <w:bCs w:val="false"/>
          <w:i w:val="false"/>
          <w:iCs w:val="false"/>
          <w:color w:val="404040"/>
          <w:sz w:val="22"/>
          <w:szCs w:val="22"/>
        </w:rPr>
        <w:t xml:space="preserve">entregadas a médicos generales y pediatras en la primera fase del proyecto.</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+200 alergólogos </w:t>
      </w:r>
      <w:r>
        <w:rPr>
          <w:rFonts w:ascii="Calibri" w:cs="Calibri" w:eastAsia="Calibri" w:hAnsi="Calibri"/>
          <w:b w:val="false"/>
          <w:bCs w:val="false"/>
          <w:i w:val="false"/>
          <w:iCs w:val="false"/>
          <w:color w:val="404040"/>
          <w:sz w:val="22"/>
          <w:szCs w:val="22"/>
        </w:rPr>
        <w:t xml:space="preserve">capacitados en la segunda fase, sobre el activo modular reestructurado.</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8 países de Latinoamérica </w:t>
      </w:r>
      <w:r>
        <w:rPr>
          <w:rFonts w:ascii="Calibri" w:cs="Calibri" w:eastAsia="Calibri" w:hAnsi="Calibri"/>
          <w:b w:val="false"/>
          <w:bCs w:val="false"/>
          <w:i w:val="false"/>
          <w:iCs w:val="false"/>
          <w:color w:val="404040"/>
          <w:sz w:val="22"/>
          <w:szCs w:val="22"/>
        </w:rPr>
        <w:t xml:space="preserve">alcanzados (la red regional cubrió, entre otros, Ecuador, Guatemala y Colombia con evidencia documentada en testimonios).</w:t>
      </w:r>
    </w:p>
    <w:p>
      <w:pPr>
        <w:pStyle w:val="Heading2"/>
        <w:spacing w:after="100" w:before="240"/>
      </w:pPr>
      <w:r>
        <w:rPr>
          <w:rFonts w:ascii="Calibri" w:cs="Calibri" w:eastAsia="Calibri" w:hAnsi="Calibri"/>
          <w:b/>
          <w:bCs/>
          <w:color w:val="1B365D"/>
          <w:sz w:val="26"/>
          <w:szCs w:val="26"/>
        </w:rPr>
        <w:t xml:space="preserve">6.2  Operación y experiencia</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Cumplimiento del cronograma de 8 semanas </w:t>
      </w:r>
      <w:r>
        <w:rPr>
          <w:rFonts w:ascii="Calibri" w:cs="Calibri" w:eastAsia="Calibri" w:hAnsi="Calibri"/>
          <w:b w:val="false"/>
          <w:bCs w:val="false"/>
          <w:i w:val="false"/>
          <w:iCs w:val="false"/>
          <w:color w:val="404040"/>
          <w:sz w:val="22"/>
          <w:szCs w:val="22"/>
        </w:rPr>
        <w:t xml:space="preserve">para producción y lanzamiento de ambos tracks.</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Alto porcentaje de adhesión y finalización </w:t>
      </w:r>
      <w:r>
        <w:rPr>
          <w:rFonts w:ascii="Calibri" w:cs="Calibri" w:eastAsia="Calibri" w:hAnsi="Calibri"/>
          <w:b w:val="false"/>
          <w:bCs w:val="false"/>
          <w:i w:val="false"/>
          <w:iCs w:val="false"/>
          <w:color w:val="404040"/>
          <w:sz w:val="22"/>
          <w:szCs w:val="22"/>
        </w:rPr>
        <w:t xml:space="preserve">atribuible a la combinación de diseño instruccional + comunicaciones automatizadas + seguimiento en tiempo real.</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Reportería semanal enriquecida </w:t>
      </w:r>
      <w:r>
        <w:rPr>
          <w:rFonts w:ascii="Calibri" w:cs="Calibri" w:eastAsia="Calibri" w:hAnsi="Calibri"/>
          <w:b w:val="false"/>
          <w:bCs w:val="false"/>
          <w:i w:val="false"/>
          <w:iCs w:val="false"/>
          <w:color w:val="404040"/>
          <w:sz w:val="22"/>
          <w:szCs w:val="22"/>
        </w:rPr>
        <w:t xml:space="preserve">entregada a los project managers de la Universidad de los Andes y de Sanofi CHC, habilitando decisiones operativas durante el lanzamiento.</w:t>
      </w:r>
    </w:p>
    <w:p>
      <w:pPr>
        <w:pStyle w:val="Heading2"/>
        <w:spacing w:after="100" w:before="240"/>
      </w:pPr>
      <w:r>
        <w:rPr>
          <w:rFonts w:ascii="Calibri" w:cs="Calibri" w:eastAsia="Calibri" w:hAnsi="Calibri"/>
          <w:b/>
          <w:bCs/>
          <w:color w:val="1B365D"/>
          <w:sz w:val="26"/>
          <w:szCs w:val="26"/>
        </w:rPr>
        <w:t xml:space="preserve">6.3  Activo académico reutilizable</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Curaduría modular </w:t>
      </w:r>
      <w:r>
        <w:rPr>
          <w:rFonts w:ascii="Calibri" w:cs="Calibri" w:eastAsia="Calibri" w:hAnsi="Calibri"/>
          <w:b w:val="false"/>
          <w:bCs w:val="false"/>
          <w:i w:val="false"/>
          <w:iCs w:val="false"/>
          <w:color w:val="404040"/>
          <w:sz w:val="22"/>
          <w:szCs w:val="22"/>
        </w:rPr>
        <w:t xml:space="preserve">del dominio microbiota / probióticos / prebióticos que la Universidad puede reactivar para nuevas audiencias y nuevos ciclos formativos sin volver a producir desde cero — capacidad ya demostrada en este mismo proyecto al reestructurar el contenido del programa de médicos generales y pediatras para crear el track de alergólogos.</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Credencialización digital </w:t>
      </w:r>
      <w:r>
        <w:rPr>
          <w:rFonts w:ascii="Calibri" w:cs="Calibri" w:eastAsia="Calibri" w:hAnsi="Calibri"/>
          <w:b w:val="false"/>
          <w:bCs w:val="false"/>
          <w:i w:val="false"/>
          <w:iCs w:val="false"/>
          <w:color w:val="404040"/>
          <w:sz w:val="22"/>
          <w:szCs w:val="22"/>
        </w:rPr>
        <w:t xml:space="preserve">implementada como parte del programa, alineada con la tendencia regional de Open Badges y credenciales verificables para profesionales de la salud.</w:t>
      </w:r>
    </w:p>
    <w:p>
      <w:pPr>
        <w:pStyle w:val="Heading2"/>
        <w:spacing w:after="100" w:before="240"/>
      </w:pPr>
      <w:r>
        <w:rPr>
          <w:rFonts w:ascii="Calibri" w:cs="Calibri" w:eastAsia="Calibri" w:hAnsi="Calibri"/>
          <w:b/>
          <w:bCs/>
          <w:color w:val="1B365D"/>
          <w:sz w:val="26"/>
          <w:szCs w:val="26"/>
        </w:rPr>
        <w:t xml:space="preserve">6.4  Impacto de negocio en la relación Uniandes × merahki.ai</w:t>
      </w:r>
    </w:p>
    <w:p>
      <w:pPr>
        <w:spacing w:after="120" w:line="300"/>
        <w:jc w:val="both"/>
      </w:pPr>
      <w:r>
        <w:rPr>
          <w:rFonts w:ascii="Calibri" w:cs="Calibri" w:eastAsia="Calibri" w:hAnsi="Calibri"/>
          <w:b w:val="false"/>
          <w:bCs w:val="false"/>
          <w:i w:val="false"/>
          <w:iCs w:val="false"/>
          <w:color w:val="404040"/>
          <w:sz w:val="22"/>
          <w:szCs w:val="22"/>
        </w:rPr>
        <w:t xml:space="preserve">El programa de microbiota fue el primer hito de una relación sostenida entre la Facultad de Medicina de la Universidad de los Andes y merahki.ai. Desde 2022, esta línea de programas virtualizados ha contribuido a:</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Un crecimiento aproximado de COP $2.000 millones (~USD $550K) </w:t>
      </w:r>
      <w:r>
        <w:rPr>
          <w:rFonts w:ascii="Calibri" w:cs="Calibri" w:eastAsia="Calibri" w:hAnsi="Calibri"/>
          <w:b w:val="false"/>
          <w:bCs w:val="false"/>
          <w:i w:val="false"/>
          <w:iCs w:val="false"/>
          <w:color w:val="404040"/>
          <w:sz w:val="22"/>
          <w:szCs w:val="22"/>
        </w:rPr>
        <w:t xml:space="preserve">en la facturación de educación continua de la Facultad de Medicina, atribuible al portafolio de programas que merahki.ai ha virtualizado para la institución —del cual el programa de microbiota fue el primero— según testimonio en video de la Project Manager de la Facultad.</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Continuidad de la relación post-2022 </w:t>
      </w:r>
      <w:r>
        <w:rPr>
          <w:rFonts w:ascii="Calibri" w:cs="Calibri" w:eastAsia="Calibri" w:hAnsi="Calibri"/>
          <w:b w:val="false"/>
          <w:bCs w:val="false"/>
          <w:i w:val="false"/>
          <w:iCs w:val="false"/>
          <w:color w:val="404040"/>
          <w:sz w:val="22"/>
          <w:szCs w:val="22"/>
        </w:rPr>
        <w:t xml:space="preserve">con nuevos programas virtualizados para la Facultad bajo el mismo modelo de orquestación y diseño modular.</w:t>
      </w:r>
    </w:p>
    <w:p>
      <w:pPr>
        <w:pBdr>
          <w:left w:val="single" w:color="F59E0B" w:sz="18" w:space="8"/>
        </w:pBdr>
        <w:shd w:fill="FFF4D6" w:val="clear"/>
        <w:spacing w:after="120" w:before="80" w:line="280"/>
        <w:ind w:left="120"/>
        <w:jc w:val="both"/>
      </w:pPr>
      <w:r>
        <w:rPr>
          <w:rFonts w:ascii="Calibri" w:cs="Calibri" w:eastAsia="Calibri" w:hAnsi="Calibri"/>
          <w:b/>
          <w:bCs/>
          <w:i w:val="false"/>
          <w:iCs w:val="false"/>
          <w:color w:val="B45309"/>
          <w:sz w:val="22"/>
          <w:szCs w:val="22"/>
        </w:rPr>
        <w:t xml:space="preserve">[PLACEHOLDER — Métricas microbiota-específicas] </w:t>
      </w:r>
      <w:r>
        <w:rPr>
          <w:rFonts w:ascii="Calibri" w:cs="Calibri" w:eastAsia="Calibri" w:hAnsi="Calibri"/>
          <w:b w:val="false"/>
          <w:bCs w:val="false"/>
          <w:i/>
          <w:iCs/>
          <w:color w:val="8A5A00"/>
          <w:sz w:val="22"/>
          <w:szCs w:val="22"/>
        </w:rPr>
        <w:t xml:space="preserve">Validar con la Facultad la cifra específica de finalización del programa de microbiota (hoy descrito en sección 6.2 como “alto porcentaje”). Una cifra puntual de finalización (ej.: “82% de finalización”) eleva sustancialmente el valor del caso a nivel programa, complementando el indicador de impacto a nivel relación.</w:t>
      </w:r>
    </w:p>
    <w:p>
      <w:pPr>
        <w:pStyle w:val="Heading1"/>
        <w:pBdr>
          <w:bottom w:val="single" w:color="2E75B6" w:sz="8" w:space="4"/>
        </w:pBdr>
        <w:spacing w:after="180" w:before="360"/>
      </w:pPr>
      <w:r>
        <w:rPr>
          <w:rFonts w:ascii="Calibri" w:cs="Calibri" w:eastAsia="Calibri" w:hAnsi="Calibri"/>
          <w:b/>
          <w:bCs/>
          <w:color w:val="1B365D"/>
          <w:sz w:val="32"/>
          <w:szCs w:val="32"/>
        </w:rPr>
        <w:t xml:space="preserve">7. Lo que dicen los actores</w:t>
      </w:r>
    </w:p>
    <w:p>
      <w:pPr>
        <w:spacing w:after="120" w:line="300"/>
        <w:jc w:val="both"/>
      </w:pPr>
      <w:r>
        <w:rPr>
          <w:rFonts w:ascii="Calibri" w:cs="Calibri" w:eastAsia="Calibri" w:hAnsi="Calibri"/>
          <w:b w:val="false"/>
          <w:bCs w:val="false"/>
          <w:i w:val="false"/>
          <w:iCs w:val="false"/>
          <w:color w:val="404040"/>
          <w:sz w:val="22"/>
          <w:szCs w:val="22"/>
        </w:rPr>
        <w:t xml:space="preserve">Voces documentadas del programa, recogidas en el video oficial de cierre del proyecto.</w:t>
      </w:r>
    </w:p>
    <w:p>
      <w:pPr>
        <w:spacing w:after="80"/>
      </w:pPr>
      <w:r>
        <w:t xml:space="preserve"/>
      </w:r>
    </w:p>
    <w:p>
      <w:pPr>
        <w:pStyle w:val="Heading2"/>
        <w:spacing w:after="100" w:before="240"/>
      </w:pPr>
      <w:r>
        <w:rPr>
          <w:rFonts w:ascii="Calibri" w:cs="Calibri" w:eastAsia="Calibri" w:hAnsi="Calibri"/>
          <w:b/>
          <w:bCs/>
          <w:color w:val="1B365D"/>
          <w:sz w:val="26"/>
          <w:szCs w:val="26"/>
        </w:rPr>
        <w:t xml:space="preserve">Del cliente corporativo</w:t>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9504"/>
      </w:tblGrid>
      <w:tr>
        <w:tc>
          <w:tcPr>
            <w:tcW w:type="dxa" w:w="9504"/>
            <w:tcBorders>
              <w:top w:val="none" w:color="FFFFFF" w:sz="0"/>
              <w:left w:val="single" w:color="2E75B6" w:sz="24"/>
              <w:bottom w:val="none" w:color="FFFFFF" w:sz="0"/>
              <w:right w:val="none" w:color="FFFFFF" w:sz="0"/>
            </w:tcBorders>
            <w:shd w:fill="F7F9FC" w:val="clear"/>
            <w:tcMar>
              <w:top w:type="dxa" w:w="200"/>
              <w:left w:type="dxa" w:w="280"/>
              <w:bottom w:type="dxa" w:w="200"/>
              <w:right w:type="dxa" w:w="240"/>
            </w:tcMar>
          </w:tcPr>
          <w:p>
            <w:pPr>
              <w:spacing w:after="120" w:line="300"/>
              <w:jc w:val="both"/>
            </w:pPr>
            <w:r>
              <w:rPr>
                <w:rFonts w:ascii="Calibri" w:cs="Calibri" w:eastAsia="Calibri" w:hAnsi="Calibri"/>
                <w:b/>
                <w:bCs/>
                <w:color w:val="2E75B6"/>
                <w:sz w:val="32"/>
                <w:szCs w:val="32"/>
              </w:rPr>
              <w:t xml:space="preserve">“</w:t>
            </w:r>
            <w:r>
              <w:rPr>
                <w:rFonts w:ascii="Calibri" w:cs="Calibri" w:eastAsia="Calibri" w:hAnsi="Calibri"/>
                <w:i/>
                <w:iCs/>
                <w:color w:val="404040"/>
                <w:sz w:val="22"/>
                <w:szCs w:val="22"/>
              </w:rPr>
              <w:t xml:space="preserve">Para Sanofi CHC es muy importante robustecer la educación médica continua, con el objetivo de que los médicos, aliados en el cuidado de la salud de todas las personas, tengan las mejores herramientas para ayudar a perseguir los milagros de la ciencia.</w:t>
            </w:r>
            <w:r>
              <w:rPr>
                <w:rFonts w:ascii="Calibri" w:cs="Calibri" w:eastAsia="Calibri" w:hAnsi="Calibri"/>
                <w:b/>
                <w:bCs/>
                <w:color w:val="2E75B6"/>
                <w:sz w:val="32"/>
                <w:szCs w:val="32"/>
              </w:rPr>
              <w:t xml:space="preserve">”</w:t>
            </w:r>
          </w:p>
          <w:p>
            <w:pPr>
              <w:spacing w:after="0"/>
            </w:pPr>
            <w:r>
              <w:rPr>
                <w:rFonts w:ascii="Calibri" w:cs="Calibri" w:eastAsia="Calibri" w:hAnsi="Calibri"/>
                <w:b/>
                <w:bCs/>
                <w:color w:val="1B365D"/>
                <w:sz w:val="20"/>
                <w:szCs w:val="20"/>
              </w:rPr>
              <w:t xml:space="preserve">— Angela Daza</w:t>
            </w:r>
            <w:r>
              <w:rPr>
                <w:rFonts w:ascii="Calibri" w:cs="Calibri" w:eastAsia="Calibri" w:hAnsi="Calibri"/>
                <w:i/>
                <w:iCs/>
                <w:color w:val="707070"/>
                <w:sz w:val="18"/>
                <w:szCs w:val="18"/>
              </w:rPr>
              <w:t xml:space="preserve">   Scientific Affairs, Sanofi CHC</w:t>
            </w:r>
          </w:p>
        </w:tc>
      </w:tr>
    </w:tbl>
    <w:p>
      <w:pPr>
        <w:spacing w:after="60"/>
      </w:pPr>
      <w:r>
        <w:t xml:space="preserve"/>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9504"/>
      </w:tblGrid>
      <w:tr>
        <w:tc>
          <w:tcPr>
            <w:tcW w:type="dxa" w:w="9504"/>
            <w:tcBorders>
              <w:top w:val="none" w:color="FFFFFF" w:sz="0"/>
              <w:left w:val="single" w:color="2E75B6" w:sz="24"/>
              <w:bottom w:val="none" w:color="FFFFFF" w:sz="0"/>
              <w:right w:val="none" w:color="FFFFFF" w:sz="0"/>
            </w:tcBorders>
            <w:shd w:fill="F7F9FC" w:val="clear"/>
            <w:tcMar>
              <w:top w:type="dxa" w:w="200"/>
              <w:left w:type="dxa" w:w="280"/>
              <w:bottom w:type="dxa" w:w="200"/>
              <w:right w:type="dxa" w:w="240"/>
            </w:tcMar>
          </w:tcPr>
          <w:p>
            <w:pPr>
              <w:spacing w:after="120" w:line="300"/>
              <w:jc w:val="both"/>
            </w:pPr>
            <w:r>
              <w:rPr>
                <w:rFonts w:ascii="Calibri" w:cs="Calibri" w:eastAsia="Calibri" w:hAnsi="Calibri"/>
                <w:b/>
                <w:bCs/>
                <w:color w:val="2E75B6"/>
                <w:sz w:val="32"/>
                <w:szCs w:val="32"/>
              </w:rPr>
              <w:t xml:space="preserve">“</w:t>
            </w:r>
            <w:r>
              <w:rPr>
                <w:rFonts w:ascii="Calibri" w:cs="Calibri" w:eastAsia="Calibri" w:hAnsi="Calibri"/>
                <w:i/>
                <w:iCs/>
                <w:color w:val="404040"/>
                <w:sz w:val="22"/>
                <w:szCs w:val="22"/>
              </w:rPr>
              <w:t xml:space="preserve">Estos últimos seis meses hemos recorrido un largo camino en nuestro curso profesional de Microbiota, Prebióticos y Probióticos. Con el apoyo de la Universidad de los Andes, la Sociedad Iberoamericana de Microbiota, Probióticos y Prebióticos, y Sanofi CHC, hoy entregaremos más de 95 insignias digitales a médicos entre medicina general y pediatría en ocho países de Latinoamérica.</w:t>
            </w:r>
            <w:r>
              <w:rPr>
                <w:rFonts w:ascii="Calibri" w:cs="Calibri" w:eastAsia="Calibri" w:hAnsi="Calibri"/>
                <w:b/>
                <w:bCs/>
                <w:color w:val="2E75B6"/>
                <w:sz w:val="32"/>
                <w:szCs w:val="32"/>
              </w:rPr>
              <w:t xml:space="preserve">”</w:t>
            </w:r>
          </w:p>
          <w:p>
            <w:pPr>
              <w:spacing w:after="0"/>
            </w:pPr>
            <w:r>
              <w:rPr>
                <w:rFonts w:ascii="Calibri" w:cs="Calibri" w:eastAsia="Calibri" w:hAnsi="Calibri"/>
                <w:b/>
                <w:bCs/>
                <w:color w:val="1B365D"/>
                <w:sz w:val="20"/>
                <w:szCs w:val="20"/>
              </w:rPr>
              <w:t xml:space="preserve">— Yanindore Rodríguez</w:t>
            </w:r>
            <w:r>
              <w:rPr>
                <w:rFonts w:ascii="Calibri" w:cs="Calibri" w:eastAsia="Calibri" w:hAnsi="Calibri"/>
                <w:i/>
                <w:iCs/>
                <w:color w:val="707070"/>
                <w:sz w:val="18"/>
                <w:szCs w:val="18"/>
              </w:rPr>
              <w:t xml:space="preserve">   HCP Engagement, Sanofi CHC</w:t>
            </w:r>
          </w:p>
        </w:tc>
      </w:tr>
    </w:tbl>
    <w:p>
      <w:pPr>
        <w:spacing w:after="60"/>
      </w:pPr>
      <w:r>
        <w:t xml:space="preserve"/>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9504"/>
      </w:tblGrid>
      <w:tr>
        <w:tc>
          <w:tcPr>
            <w:tcW w:type="dxa" w:w="9504"/>
            <w:tcBorders>
              <w:top w:val="none" w:color="FFFFFF" w:sz="0"/>
              <w:left w:val="single" w:color="2E75B6" w:sz="24"/>
              <w:bottom w:val="none" w:color="FFFFFF" w:sz="0"/>
              <w:right w:val="none" w:color="FFFFFF" w:sz="0"/>
            </w:tcBorders>
            <w:shd w:fill="F7F9FC" w:val="clear"/>
            <w:tcMar>
              <w:top w:type="dxa" w:w="200"/>
              <w:left w:type="dxa" w:w="280"/>
              <w:bottom w:type="dxa" w:w="200"/>
              <w:right w:type="dxa" w:w="240"/>
            </w:tcMar>
          </w:tcPr>
          <w:p>
            <w:pPr>
              <w:spacing w:after="120" w:line="300"/>
              <w:jc w:val="both"/>
            </w:pPr>
            <w:r>
              <w:rPr>
                <w:rFonts w:ascii="Calibri" w:cs="Calibri" w:eastAsia="Calibri" w:hAnsi="Calibri"/>
                <w:b/>
                <w:bCs/>
                <w:color w:val="2E75B6"/>
                <w:sz w:val="32"/>
                <w:szCs w:val="32"/>
              </w:rPr>
              <w:t xml:space="preserve">“</w:t>
            </w:r>
            <w:r>
              <w:rPr>
                <w:rFonts w:ascii="Calibri" w:cs="Calibri" w:eastAsia="Calibri" w:hAnsi="Calibri"/>
                <w:i/>
                <w:iCs/>
                <w:color w:val="404040"/>
                <w:sz w:val="22"/>
                <w:szCs w:val="22"/>
              </w:rPr>
              <w:t xml:space="preserve">Esperamos que este programa profesional haya sido provechoso para todos y que a través del mismo hayan adquirido más herramientas para la atención integral de sus pacientes.</w:t>
            </w:r>
            <w:r>
              <w:rPr>
                <w:rFonts w:ascii="Calibri" w:cs="Calibri" w:eastAsia="Calibri" w:hAnsi="Calibri"/>
                <w:b/>
                <w:bCs/>
                <w:color w:val="2E75B6"/>
                <w:sz w:val="32"/>
                <w:szCs w:val="32"/>
              </w:rPr>
              <w:t xml:space="preserve">”</w:t>
            </w:r>
          </w:p>
          <w:p>
            <w:pPr>
              <w:spacing w:after="0"/>
            </w:pPr>
            <w:r>
              <w:rPr>
                <w:rFonts w:ascii="Calibri" w:cs="Calibri" w:eastAsia="Calibri" w:hAnsi="Calibri"/>
                <w:b/>
                <w:bCs/>
                <w:color w:val="1B365D"/>
                <w:sz w:val="20"/>
                <w:szCs w:val="20"/>
              </w:rPr>
              <w:t xml:space="preserve">— María Cruz</w:t>
            </w:r>
            <w:r>
              <w:rPr>
                <w:rFonts w:ascii="Calibri" w:cs="Calibri" w:eastAsia="Calibri" w:hAnsi="Calibri"/>
                <w:i/>
                <w:iCs/>
                <w:color w:val="707070"/>
                <w:sz w:val="18"/>
                <w:szCs w:val="18"/>
              </w:rPr>
              <w:t xml:space="preserve">   Medical Manager, Sanofi CHC</w:t>
            </w:r>
          </w:p>
        </w:tc>
      </w:tr>
    </w:tbl>
    <w:p>
      <w:pPr>
        <w:spacing w:after="80"/>
      </w:pPr>
      <w:r>
        <w:t xml:space="preserve"/>
      </w:r>
    </w:p>
    <w:p>
      <w:pPr>
        <w:pStyle w:val="Heading2"/>
        <w:spacing w:after="100" w:before="240"/>
      </w:pPr>
      <w:r>
        <w:rPr>
          <w:rFonts w:ascii="Calibri" w:cs="Calibri" w:eastAsia="Calibri" w:hAnsi="Calibri"/>
          <w:b/>
          <w:bCs/>
          <w:color w:val="1B365D"/>
          <w:sz w:val="26"/>
          <w:szCs w:val="26"/>
        </w:rPr>
        <w:t xml:space="preserve">De la universidad</w:t>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9504"/>
      </w:tblGrid>
      <w:tr>
        <w:tc>
          <w:tcPr>
            <w:tcW w:type="dxa" w:w="9504"/>
            <w:tcBorders>
              <w:top w:val="none" w:color="FFFFFF" w:sz="0"/>
              <w:left w:val="single" w:color="2E75B6" w:sz="24"/>
              <w:bottom w:val="none" w:color="FFFFFF" w:sz="0"/>
              <w:right w:val="none" w:color="FFFFFF" w:sz="0"/>
            </w:tcBorders>
            <w:shd w:fill="F7F9FC" w:val="clear"/>
            <w:tcMar>
              <w:top w:type="dxa" w:w="200"/>
              <w:left w:type="dxa" w:w="280"/>
              <w:bottom w:type="dxa" w:w="200"/>
              <w:right w:type="dxa" w:w="240"/>
            </w:tcMar>
          </w:tcPr>
          <w:p>
            <w:pPr>
              <w:spacing w:after="120" w:line="300"/>
              <w:jc w:val="both"/>
            </w:pPr>
            <w:r>
              <w:rPr>
                <w:rFonts w:ascii="Calibri" w:cs="Calibri" w:eastAsia="Calibri" w:hAnsi="Calibri"/>
                <w:b/>
                <w:bCs/>
                <w:color w:val="2E75B6"/>
                <w:sz w:val="32"/>
                <w:szCs w:val="32"/>
              </w:rPr>
              <w:t xml:space="preserve">“</w:t>
            </w:r>
            <w:r>
              <w:rPr>
                <w:rFonts w:ascii="Calibri" w:cs="Calibri" w:eastAsia="Calibri" w:hAnsi="Calibri"/>
                <w:i/>
                <w:iCs/>
                <w:color w:val="404040"/>
                <w:sz w:val="22"/>
                <w:szCs w:val="22"/>
              </w:rPr>
              <w:t xml:space="preserve">Como Universidad de los Andes, les agradecemos su compromiso y dedicación en este programa. Para la Facultad de Medicina es muy importante la educación médica de alta calidad. Es esto lo que nos ha posicionado como una de las mejores universidades de Latinoamérica.</w:t>
            </w:r>
            <w:r>
              <w:rPr>
                <w:rFonts w:ascii="Calibri" w:cs="Calibri" w:eastAsia="Calibri" w:hAnsi="Calibri"/>
                <w:b/>
                <w:bCs/>
                <w:color w:val="2E75B6"/>
                <w:sz w:val="32"/>
                <w:szCs w:val="32"/>
              </w:rPr>
              <w:t xml:space="preserve">”</w:t>
            </w:r>
          </w:p>
          <w:p>
            <w:pPr>
              <w:spacing w:after="0"/>
            </w:pPr>
            <w:r>
              <w:rPr>
                <w:rFonts w:ascii="Calibri" w:cs="Calibri" w:eastAsia="Calibri" w:hAnsi="Calibri"/>
                <w:b/>
                <w:bCs/>
                <w:color w:val="1B365D"/>
                <w:sz w:val="20"/>
                <w:szCs w:val="20"/>
              </w:rPr>
              <w:t xml:space="preserve">— Juliana González</w:t>
            </w:r>
            <w:r>
              <w:rPr>
                <w:rFonts w:ascii="Calibri" w:cs="Calibri" w:eastAsia="Calibri" w:hAnsi="Calibri"/>
                <w:i/>
                <w:iCs/>
                <w:color w:val="707070"/>
                <w:sz w:val="18"/>
                <w:szCs w:val="18"/>
              </w:rPr>
              <w:t xml:space="preserve">   Project Manager, Universidad de los Andes — Facultad de Medicina</w:t>
            </w:r>
          </w:p>
        </w:tc>
      </w:tr>
    </w:tbl>
    <w:p>
      <w:pPr>
        <w:spacing w:after="60"/>
      </w:pPr>
      <w:r>
        <w:t xml:space="preserve"/>
      </w:r>
    </w:p>
    <w:p>
      <w:pPr>
        <w:spacing w:after="120" w:line="300"/>
        <w:jc w:val="both"/>
      </w:pPr>
      <w:r>
        <w:rPr>
          <w:rFonts w:ascii="Calibri" w:cs="Calibri" w:eastAsia="Calibri" w:hAnsi="Calibri"/>
          <w:b w:val="false"/>
          <w:bCs w:val="false"/>
          <w:i w:val="false"/>
          <w:iCs w:val="false"/>
          <w:color w:val="404040"/>
          <w:sz w:val="22"/>
          <w:szCs w:val="22"/>
        </w:rPr>
        <w:t xml:space="preserve">En un testimonio en video posterior, Juliana González amplió el alcance del impacto: el portafolio de programas que merahki.ai ha virtualizado para la Facultad de Medicina ha contribuido a un crecimiento aproximado de </w:t>
      </w:r>
      <w:r>
        <w:rPr>
          <w:rFonts w:ascii="Calibri" w:cs="Calibri" w:eastAsia="Calibri" w:hAnsi="Calibri"/>
          <w:b/>
          <w:bCs/>
          <w:i w:val="false"/>
          <w:iCs w:val="false"/>
          <w:color w:val="404040"/>
          <w:sz w:val="22"/>
          <w:szCs w:val="22"/>
        </w:rPr>
        <w:t xml:space="preserve">COP $2.000 millones (~USD $550K) en la facturación de educación continua</w:t>
      </w:r>
      <w:r>
        <w:rPr>
          <w:rFonts w:ascii="Calibri" w:cs="Calibri" w:eastAsia="Calibri" w:hAnsi="Calibri"/>
          <w:b w:val="false"/>
          <w:bCs w:val="false"/>
          <w:i w:val="false"/>
          <w:iCs w:val="false"/>
          <w:color w:val="404040"/>
          <w:sz w:val="22"/>
          <w:szCs w:val="22"/>
        </w:rPr>
        <w:t xml:space="preserve"> de la institución.</w:t>
      </w:r>
    </w:p>
    <w:p>
      <w:pPr>
        <w:spacing w:after="80"/>
      </w:pPr>
      <w:r>
        <w:t xml:space="preserve"/>
      </w:r>
    </w:p>
    <w:p>
      <w:pPr>
        <w:pStyle w:val="Heading2"/>
        <w:spacing w:after="100" w:before="240"/>
      </w:pPr>
      <w:r>
        <w:rPr>
          <w:rFonts w:ascii="Calibri" w:cs="Calibri" w:eastAsia="Calibri" w:hAnsi="Calibri"/>
          <w:b/>
          <w:bCs/>
          <w:color w:val="1B365D"/>
          <w:sz w:val="26"/>
          <w:szCs w:val="26"/>
        </w:rPr>
        <w:t xml:space="preserve">De los participantes</w:t>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9504"/>
      </w:tblGrid>
      <w:tr>
        <w:tc>
          <w:tcPr>
            <w:tcW w:type="dxa" w:w="9504"/>
            <w:tcBorders>
              <w:top w:val="none" w:color="FFFFFF" w:sz="0"/>
              <w:left w:val="single" w:color="2E75B6" w:sz="24"/>
              <w:bottom w:val="none" w:color="FFFFFF" w:sz="0"/>
              <w:right w:val="none" w:color="FFFFFF" w:sz="0"/>
            </w:tcBorders>
            <w:shd w:fill="F7F9FC" w:val="clear"/>
            <w:tcMar>
              <w:top w:type="dxa" w:w="200"/>
              <w:left w:type="dxa" w:w="280"/>
              <w:bottom w:type="dxa" w:w="200"/>
              <w:right w:type="dxa" w:w="240"/>
            </w:tcMar>
          </w:tcPr>
          <w:p>
            <w:pPr>
              <w:spacing w:after="120" w:line="300"/>
              <w:jc w:val="both"/>
            </w:pPr>
            <w:r>
              <w:rPr>
                <w:rFonts w:ascii="Calibri" w:cs="Calibri" w:eastAsia="Calibri" w:hAnsi="Calibri"/>
                <w:b/>
                <w:bCs/>
                <w:color w:val="2E75B6"/>
                <w:sz w:val="32"/>
                <w:szCs w:val="32"/>
              </w:rPr>
              <w:t xml:space="preserve">“</w:t>
            </w:r>
            <w:r>
              <w:rPr>
                <w:rFonts w:ascii="Calibri" w:cs="Calibri" w:eastAsia="Calibri" w:hAnsi="Calibri"/>
                <w:i/>
                <w:iCs/>
                <w:color w:val="404040"/>
                <w:sz w:val="22"/>
                <w:szCs w:val="22"/>
              </w:rPr>
              <w:t xml:space="preserve">Soy la doctora Gina Vivas, médico pediatra del Hospital de Fuerzas Armadas del Ecuador. Estoy convencida que los conocimientos adquiridos durante este diplomado serán en beneficio propio y lo más importante, en beneficio de mis pequeños pacientes.</w:t>
            </w:r>
            <w:r>
              <w:rPr>
                <w:rFonts w:ascii="Calibri" w:cs="Calibri" w:eastAsia="Calibri" w:hAnsi="Calibri"/>
                <w:b/>
                <w:bCs/>
                <w:color w:val="2E75B6"/>
                <w:sz w:val="32"/>
                <w:szCs w:val="32"/>
              </w:rPr>
              <w:t xml:space="preserve">”</w:t>
            </w:r>
          </w:p>
          <w:p>
            <w:pPr>
              <w:spacing w:after="0"/>
            </w:pPr>
            <w:r>
              <w:rPr>
                <w:rFonts w:ascii="Calibri" w:cs="Calibri" w:eastAsia="Calibri" w:hAnsi="Calibri"/>
                <w:b/>
                <w:bCs/>
                <w:color w:val="1B365D"/>
                <w:sz w:val="20"/>
                <w:szCs w:val="20"/>
              </w:rPr>
              <w:t xml:space="preserve">— Dra. Gina Vivas</w:t>
            </w:r>
            <w:r>
              <w:rPr>
                <w:rFonts w:ascii="Calibri" w:cs="Calibri" w:eastAsia="Calibri" w:hAnsi="Calibri"/>
                <w:i/>
                <w:iCs/>
                <w:color w:val="707070"/>
                <w:sz w:val="18"/>
                <w:szCs w:val="18"/>
              </w:rPr>
              <w:t xml:space="preserve">   Médico Pediatra — Hospital de Fuerzas Armadas, Ecuador</w:t>
            </w:r>
          </w:p>
        </w:tc>
      </w:tr>
    </w:tbl>
    <w:p>
      <w:pPr>
        <w:spacing w:after="60"/>
      </w:pPr>
      <w:r>
        <w:t xml:space="preserve"/>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9504"/>
      </w:tblGrid>
      <w:tr>
        <w:tc>
          <w:tcPr>
            <w:tcW w:type="dxa" w:w="9504"/>
            <w:tcBorders>
              <w:top w:val="none" w:color="FFFFFF" w:sz="0"/>
              <w:left w:val="single" w:color="2E75B6" w:sz="24"/>
              <w:bottom w:val="none" w:color="FFFFFF" w:sz="0"/>
              <w:right w:val="none" w:color="FFFFFF" w:sz="0"/>
            </w:tcBorders>
            <w:shd w:fill="F7F9FC" w:val="clear"/>
            <w:tcMar>
              <w:top w:type="dxa" w:w="200"/>
              <w:left w:type="dxa" w:w="280"/>
              <w:bottom w:type="dxa" w:w="200"/>
              <w:right w:type="dxa" w:w="240"/>
            </w:tcMar>
          </w:tcPr>
          <w:p>
            <w:pPr>
              <w:spacing w:after="120" w:line="300"/>
              <w:jc w:val="both"/>
            </w:pPr>
            <w:r>
              <w:rPr>
                <w:rFonts w:ascii="Calibri" w:cs="Calibri" w:eastAsia="Calibri" w:hAnsi="Calibri"/>
                <w:b/>
                <w:bCs/>
                <w:color w:val="2E75B6"/>
                <w:sz w:val="32"/>
                <w:szCs w:val="32"/>
              </w:rPr>
              <w:t xml:space="preserve">“</w:t>
            </w:r>
            <w:r>
              <w:rPr>
                <w:rFonts w:ascii="Calibri" w:cs="Calibri" w:eastAsia="Calibri" w:hAnsi="Calibri"/>
                <w:i/>
                <w:iCs/>
                <w:color w:val="404040"/>
                <w:sz w:val="22"/>
                <w:szCs w:val="22"/>
              </w:rPr>
              <w:t xml:space="preserve">Quiero felicitar a los organizadores, a los coordinadores y a todos quienes estuvieron brindándonos las charlas. Fue un curso excelente, aprendimos muchísimo y todo lo que nos enseñaron seguramente lo vamos a poder aplicar en nuestra práctica diaria. Fue un curso de alto nivel académico. Muy recomendado.</w:t>
            </w:r>
            <w:r>
              <w:rPr>
                <w:rFonts w:ascii="Calibri" w:cs="Calibri" w:eastAsia="Calibri" w:hAnsi="Calibri"/>
                <w:b/>
                <w:bCs/>
                <w:color w:val="2E75B6"/>
                <w:sz w:val="32"/>
                <w:szCs w:val="32"/>
              </w:rPr>
              <w:t xml:space="preserve">”</w:t>
            </w:r>
          </w:p>
          <w:p>
            <w:pPr>
              <w:spacing w:after="0"/>
            </w:pPr>
            <w:r>
              <w:rPr>
                <w:rFonts w:ascii="Calibri" w:cs="Calibri" w:eastAsia="Calibri" w:hAnsi="Calibri"/>
                <w:b/>
                <w:bCs/>
                <w:color w:val="1B365D"/>
                <w:sz w:val="20"/>
                <w:szCs w:val="20"/>
              </w:rPr>
              <w:t xml:space="preserve">— Dra. Carolina Ortiz</w:t>
            </w:r>
            <w:r>
              <w:rPr>
                <w:rFonts w:ascii="Calibri" w:cs="Calibri" w:eastAsia="Calibri" w:hAnsi="Calibri"/>
                <w:i/>
                <w:iCs/>
                <w:color w:val="707070"/>
                <w:sz w:val="18"/>
                <w:szCs w:val="18"/>
              </w:rPr>
              <w:t xml:space="preserve">   Gastroenteróloga Pediatra, Guatemala</w:t>
            </w:r>
          </w:p>
        </w:tc>
      </w:tr>
    </w:tbl>
    <w:p>
      <w:pPr>
        <w:spacing w:after="60"/>
      </w:pPr>
      <w:r>
        <w:t xml:space="preserve"/>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9504"/>
      </w:tblGrid>
      <w:tr>
        <w:tc>
          <w:tcPr>
            <w:tcW w:type="dxa" w:w="9504"/>
            <w:tcBorders>
              <w:top w:val="none" w:color="FFFFFF" w:sz="0"/>
              <w:left w:val="single" w:color="2E75B6" w:sz="24"/>
              <w:bottom w:val="none" w:color="FFFFFF" w:sz="0"/>
              <w:right w:val="none" w:color="FFFFFF" w:sz="0"/>
            </w:tcBorders>
            <w:shd w:fill="F7F9FC" w:val="clear"/>
            <w:tcMar>
              <w:top w:type="dxa" w:w="200"/>
              <w:left w:type="dxa" w:w="280"/>
              <w:bottom w:type="dxa" w:w="200"/>
              <w:right w:type="dxa" w:w="240"/>
            </w:tcMar>
          </w:tcPr>
          <w:p>
            <w:pPr>
              <w:spacing w:after="120" w:line="300"/>
              <w:jc w:val="both"/>
            </w:pPr>
            <w:r>
              <w:rPr>
                <w:rFonts w:ascii="Calibri" w:cs="Calibri" w:eastAsia="Calibri" w:hAnsi="Calibri"/>
                <w:b/>
                <w:bCs/>
                <w:color w:val="2E75B6"/>
                <w:sz w:val="32"/>
                <w:szCs w:val="32"/>
              </w:rPr>
              <w:t xml:space="preserve">“</w:t>
            </w:r>
            <w:r>
              <w:rPr>
                <w:rFonts w:ascii="Calibri" w:cs="Calibri" w:eastAsia="Calibri" w:hAnsi="Calibri"/>
                <w:i/>
                <w:iCs/>
                <w:color w:val="404040"/>
                <w:sz w:val="22"/>
                <w:szCs w:val="22"/>
              </w:rPr>
              <w:t xml:space="preserve">Realmente fue un diplomado que aportó mucho para mi vida como médico, y así tal cual poder empezar a formular y poder entender varias patologías y sus tratamientos con base a este diplomado.</w:t>
            </w:r>
            <w:r>
              <w:rPr>
                <w:rFonts w:ascii="Calibri" w:cs="Calibri" w:eastAsia="Calibri" w:hAnsi="Calibri"/>
                <w:b/>
                <w:bCs/>
                <w:color w:val="2E75B6"/>
                <w:sz w:val="32"/>
                <w:szCs w:val="32"/>
              </w:rPr>
              <w:t xml:space="preserve">”</w:t>
            </w:r>
          </w:p>
          <w:p>
            <w:pPr>
              <w:spacing w:after="0"/>
            </w:pPr>
            <w:r>
              <w:rPr>
                <w:rFonts w:ascii="Calibri" w:cs="Calibri" w:eastAsia="Calibri" w:hAnsi="Calibri"/>
                <w:b/>
                <w:bCs/>
                <w:color w:val="1B365D"/>
                <w:sz w:val="20"/>
                <w:szCs w:val="20"/>
              </w:rPr>
              <w:t xml:space="preserve">— Médico participante</w:t>
            </w:r>
            <w:r>
              <w:rPr>
                <w:rFonts w:ascii="Calibri" w:cs="Calibri" w:eastAsia="Calibri" w:hAnsi="Calibri"/>
                <w:i/>
                <w:iCs/>
                <w:color w:val="707070"/>
                <w:sz w:val="18"/>
                <w:szCs w:val="18"/>
              </w:rPr>
              <w:t xml:space="preserve">   Programa de actualización en microbiota</w:t>
            </w:r>
          </w:p>
        </w:tc>
      </w:tr>
    </w:tbl>
    <w:p>
      <w:pPr>
        <w:spacing w:after="80"/>
      </w:pPr>
      <w:r>
        <w:t xml:space="preserve"/>
      </w:r>
    </w:p>
    <w:p>
      <w:pPr>
        <w:pStyle w:val="Heading2"/>
        <w:spacing w:after="100" w:before="240"/>
      </w:pPr>
      <w:r>
        <w:rPr>
          <w:rFonts w:ascii="Calibri" w:cs="Calibri" w:eastAsia="Calibri" w:hAnsi="Calibri"/>
          <w:b/>
          <w:bCs/>
          <w:color w:val="1B365D"/>
          <w:sz w:val="26"/>
          <w:szCs w:val="26"/>
        </w:rPr>
        <w:t xml:space="preserve">Videos del proyecto</w:t>
      </w:r>
    </w:p>
    <w:p>
      <w:pPr>
        <w:spacing w:after="120" w:line="300"/>
        <w:jc w:val="both"/>
      </w:pPr>
      <w:r>
        <w:rPr>
          <w:rFonts w:ascii="Calibri" w:cs="Calibri" w:eastAsia="Calibri" w:hAnsi="Calibri"/>
          <w:b w:val="false"/>
          <w:bCs w:val="false"/>
          <w:i w:val="false"/>
          <w:iCs w:val="false"/>
          <w:color w:val="404040"/>
          <w:sz w:val="22"/>
          <w:szCs w:val="22"/>
        </w:rPr>
        <w:t xml:space="preserve">Acceso directo a los testimonios oficiales en video, disponibles en Vimeo.</w:t>
      </w:r>
    </w:p>
    <w:p>
      <w:pPr>
        <w:spacing w:after="60"/>
      </w:pPr>
      <w:r>
        <w:t xml:space="preserve"/>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2160"/>
        <w:gridCol w:w="7344"/>
      </w:tblGrid>
      <w:tr>
        <w:tc>
          <w:tcPr>
            <w:tcW w:type="dxa" w:w="2160"/>
            <w:tcBorders>
              <w:top w:val="single" w:color="1B365D" w:sz="4"/>
              <w:left w:val="single" w:color="1B365D" w:sz="4"/>
              <w:bottom w:val="single" w:color="1B365D" w:sz="4"/>
              <w:right w:val="single" w:color="1B365D" w:sz="4"/>
            </w:tcBorders>
            <w:shd w:fill="1B365D" w:val="clear"/>
            <w:tcMar>
              <w:top w:type="dxa" w:w="240"/>
              <w:left w:type="dxa" w:w="120"/>
              <w:bottom w:type="dxa" w:w="240"/>
              <w:right w:type="dxa" w:w="120"/>
            </w:tcMar>
            <w:vAlign w:val="center"/>
          </w:tcPr>
          <w:p>
            <w:pPr>
              <w:spacing w:after="80"/>
              <w:jc w:val="center"/>
            </w:pPr>
            <w:r>
              <w:rPr>
                <w:rFonts w:ascii="Calibri" w:cs="Calibri" w:eastAsia="Calibri" w:hAnsi="Calibri"/>
                <w:b/>
                <w:bCs/>
                <w:color w:val="FFFFFF"/>
                <w:sz w:val="72"/>
                <w:szCs w:val="72"/>
              </w:rPr>
              <w:t xml:space="preserve">▶</w:t>
            </w:r>
          </w:p>
          <w:p>
            <w:pPr>
              <w:spacing w:after="0"/>
              <w:jc w:val="center"/>
            </w:pPr>
            <w:r>
              <w:rPr>
                <w:rFonts w:ascii="Calibri" w:cs="Calibri" w:eastAsia="Calibri" w:hAnsi="Calibri"/>
                <w:b/>
                <w:bCs/>
                <w:color w:val="FFFFFF"/>
                <w:spacing w:val="60"/>
                <w:sz w:val="14"/>
                <w:szCs w:val="14"/>
              </w:rPr>
              <w:t xml:space="preserve">VIDEO</w:t>
            </w:r>
          </w:p>
        </w:tc>
        <w:tc>
          <w:tcPr>
            <w:tcW w:type="dxa" w:w="7344"/>
            <w:tcBorders>
              <w:top w:val="single" w:color="D6DEE8" w:sz="4"/>
              <w:left w:val="none" w:color="FFFFFF" w:sz="0"/>
              <w:bottom w:val="single" w:color="D6DEE8" w:sz="4"/>
              <w:right w:val="single" w:color="D6DEE8" w:sz="4"/>
            </w:tcBorders>
            <w:shd w:fill="FAFBFD" w:val="clear"/>
            <w:tcMar>
              <w:top w:type="dxa" w:w="200"/>
              <w:left w:type="dxa" w:w="280"/>
              <w:bottom w:type="dxa" w:w="200"/>
              <w:right w:type="dxa" w:w="240"/>
            </w:tcMar>
            <w:vAlign w:val="center"/>
          </w:tcPr>
          <w:p>
            <w:pPr>
              <w:spacing w:after="60"/>
            </w:pPr>
            <w:r>
              <w:rPr>
                <w:rFonts w:ascii="Calibri" w:cs="Calibri" w:eastAsia="Calibri" w:hAnsi="Calibri"/>
                <w:b/>
                <w:bCs/>
                <w:color w:val="1B365D"/>
                <w:sz w:val="24"/>
                <w:szCs w:val="24"/>
              </w:rPr>
              <w:t xml:space="preserve">Sanofi CHC × Facultad de Medicina, Universidad de los Andes</w:t>
            </w:r>
          </w:p>
          <w:p>
            <w:pPr>
              <w:spacing w:after="100"/>
            </w:pPr>
            <w:r>
              <w:rPr>
                <w:rFonts w:ascii="Calibri" w:cs="Calibri" w:eastAsia="Calibri" w:hAnsi="Calibri"/>
                <w:i/>
                <w:iCs/>
                <w:color w:val="707070"/>
                <w:sz w:val="18"/>
                <w:szCs w:val="18"/>
              </w:rPr>
              <w:t xml:space="preserve">Video oficial de cierre del programa</w:t>
            </w:r>
          </w:p>
          <w:p>
            <w:pPr>
              <w:spacing w:after="140" w:line="280"/>
              <w:jc w:val="both"/>
            </w:pPr>
            <w:r>
              <w:rPr>
                <w:rFonts w:ascii="Calibri" w:cs="Calibri" w:eastAsia="Calibri" w:hAnsi="Calibri"/>
                <w:color w:val="404040"/>
                <w:sz w:val="20"/>
                <w:szCs w:val="20"/>
              </w:rPr>
              <w:t xml:space="preserve">Testimonios completos de Angela Daza (Scientific Affairs), Yanindore Rodríguez (HCP Engagement) y María Cruz (Medical Manager) de Sanofi CHC, junto con Juliana González (Project Manager, Uniandes) y voces de médicos participantes de Ecuador, Guatemala y Colombia. Incluye recorrido por la ruta de aprendizaje construida en el LMS de la Universidad.</w:t>
            </w:r>
          </w:p>
          <w:p>
            <w:pPr>
              <w:spacing w:after="0"/>
            </w:pPr>
            <w:hyperlink w:history="1" r:id="rIdqa_no4fips_h2r8s7_lwv">
              <w:r>
                <w:rPr>
                  <w:rFonts w:ascii="Calibri" w:cs="Calibri" w:eastAsia="Calibri" w:hAnsi="Calibri"/>
                  <w:b/>
                  <w:bCs/>
                  <w:color w:val="2E75B6"/>
                  <w:sz w:val="20"/>
                  <w:szCs w:val="20"/>
                  <w:u w:val="single" w:color="2E75B6"/>
                </w:rPr>
                <w:t xml:space="preserve">▶ Ver en Vimeo  →</w:t>
              </w:r>
            </w:hyperlink>
          </w:p>
        </w:tc>
      </w:tr>
    </w:tbl>
    <w:p>
      <w:pPr>
        <w:spacing w:after="120"/>
      </w:pPr>
      <w:r>
        <w:t xml:space="preserve"/>
      </w:r>
    </w:p>
    <w:tbl>
      <w:tblPr>
        <w:tblW w:type="dxa" w:w="9504"/>
        <w:tblBorders>
          <w:top w:val="single" w:color="auto" w:sz="4"/>
          <w:left w:val="single" w:color="auto" w:sz="4"/>
          <w:bottom w:val="single" w:color="auto" w:sz="4"/>
          <w:right w:val="single" w:color="auto" w:sz="4"/>
          <w:insideH w:val="single" w:color="auto" w:sz="4"/>
          <w:insideV w:val="single" w:color="auto" w:sz="4"/>
        </w:tblBorders>
      </w:tblPr>
      <w:tblGrid>
        <w:gridCol w:w="2160"/>
        <w:gridCol w:w="7344"/>
      </w:tblGrid>
      <w:tr>
        <w:tc>
          <w:tcPr>
            <w:tcW w:type="dxa" w:w="2160"/>
            <w:tcBorders>
              <w:top w:val="single" w:color="1B365D" w:sz="4"/>
              <w:left w:val="single" w:color="1B365D" w:sz="4"/>
              <w:bottom w:val="single" w:color="1B365D" w:sz="4"/>
              <w:right w:val="single" w:color="1B365D" w:sz="4"/>
            </w:tcBorders>
            <w:shd w:fill="1B365D" w:val="clear"/>
            <w:tcMar>
              <w:top w:type="dxa" w:w="240"/>
              <w:left w:type="dxa" w:w="120"/>
              <w:bottom w:type="dxa" w:w="240"/>
              <w:right w:type="dxa" w:w="120"/>
            </w:tcMar>
            <w:vAlign w:val="center"/>
          </w:tcPr>
          <w:p>
            <w:pPr>
              <w:spacing w:after="80"/>
              <w:jc w:val="center"/>
            </w:pPr>
            <w:r>
              <w:rPr>
                <w:rFonts w:ascii="Calibri" w:cs="Calibri" w:eastAsia="Calibri" w:hAnsi="Calibri"/>
                <w:b/>
                <w:bCs/>
                <w:color w:val="FFFFFF"/>
                <w:sz w:val="72"/>
                <w:szCs w:val="72"/>
              </w:rPr>
              <w:t xml:space="preserve">▶</w:t>
            </w:r>
          </w:p>
          <w:p>
            <w:pPr>
              <w:spacing w:after="0"/>
              <w:jc w:val="center"/>
            </w:pPr>
            <w:r>
              <w:rPr>
                <w:rFonts w:ascii="Calibri" w:cs="Calibri" w:eastAsia="Calibri" w:hAnsi="Calibri"/>
                <w:b/>
                <w:bCs/>
                <w:color w:val="FFFFFF"/>
                <w:spacing w:val="60"/>
                <w:sz w:val="14"/>
                <w:szCs w:val="14"/>
              </w:rPr>
              <w:t xml:space="preserve">VIDEO</w:t>
            </w:r>
          </w:p>
        </w:tc>
        <w:tc>
          <w:tcPr>
            <w:tcW w:type="dxa" w:w="7344"/>
            <w:tcBorders>
              <w:top w:val="single" w:color="D6DEE8" w:sz="4"/>
              <w:left w:val="none" w:color="FFFFFF" w:sz="0"/>
              <w:bottom w:val="single" w:color="D6DEE8" w:sz="4"/>
              <w:right w:val="single" w:color="D6DEE8" w:sz="4"/>
            </w:tcBorders>
            <w:shd w:fill="FAFBFD" w:val="clear"/>
            <w:tcMar>
              <w:top w:type="dxa" w:w="200"/>
              <w:left w:type="dxa" w:w="280"/>
              <w:bottom w:type="dxa" w:w="200"/>
              <w:right w:type="dxa" w:w="240"/>
            </w:tcMar>
            <w:vAlign w:val="center"/>
          </w:tcPr>
          <w:p>
            <w:pPr>
              <w:spacing w:after="60"/>
            </w:pPr>
            <w:r>
              <w:rPr>
                <w:rFonts w:ascii="Calibri" w:cs="Calibri" w:eastAsia="Calibri" w:hAnsi="Calibri"/>
                <w:b/>
                <w:bCs/>
                <w:color w:val="1B365D"/>
                <w:sz w:val="24"/>
                <w:szCs w:val="24"/>
              </w:rPr>
              <w:t xml:space="preserve">Juliana González — Universidad de los Andes</w:t>
            </w:r>
          </w:p>
          <w:p>
            <w:pPr>
              <w:spacing w:after="100"/>
            </w:pPr>
            <w:r>
              <w:rPr>
                <w:rFonts w:ascii="Calibri" w:cs="Calibri" w:eastAsia="Calibri" w:hAnsi="Calibri"/>
                <w:i/>
                <w:iCs/>
                <w:color w:val="707070"/>
                <w:sz w:val="18"/>
                <w:szCs w:val="18"/>
              </w:rPr>
              <w:t xml:space="preserve">Testimonio sobre el impacto de la relación con merahki.ai</w:t>
            </w:r>
          </w:p>
          <w:p>
            <w:pPr>
              <w:spacing w:after="140" w:line="280"/>
              <w:jc w:val="both"/>
            </w:pPr>
            <w:r>
              <w:rPr>
                <w:rFonts w:ascii="Calibri" w:cs="Calibri" w:eastAsia="Calibri" w:hAnsi="Calibri"/>
                <w:color w:val="404040"/>
                <w:sz w:val="20"/>
                <w:szCs w:val="20"/>
              </w:rPr>
              <w:t xml:space="preserve">La Project Manager de la Facultad de Medicina relata el impacto acumulado de los programas que merahki.ai ha virtualizado para la Universidad — incluyendo la contribución aproximada de COP $2.000 millones (~USD $550K) a la facturación de educación continua de la Facultad.</w:t>
            </w:r>
          </w:p>
          <w:p>
            <w:pPr>
              <w:spacing w:after="0"/>
            </w:pPr>
            <w:hyperlink w:history="1" r:id="rIdymylzahkb230mjd1rz7hb">
              <w:r>
                <w:rPr>
                  <w:rFonts w:ascii="Calibri" w:cs="Calibri" w:eastAsia="Calibri" w:hAnsi="Calibri"/>
                  <w:b/>
                  <w:bCs/>
                  <w:color w:val="2E75B6"/>
                  <w:sz w:val="20"/>
                  <w:szCs w:val="20"/>
                  <w:u w:val="single" w:color="2E75B6"/>
                </w:rPr>
                <w:t xml:space="preserve">▶ Ver en Vimeo  →</w:t>
              </w:r>
            </w:hyperlink>
          </w:p>
        </w:tc>
      </w:tr>
    </w:tbl>
    <w:p>
      <w:pPr>
        <w:spacing w:after="80"/>
      </w:pPr>
      <w:r>
        <w:t xml:space="preserve"/>
      </w:r>
    </w:p>
    <w:p>
      <w:pPr>
        <w:pStyle w:val="Heading1"/>
        <w:pBdr>
          <w:bottom w:val="single" w:color="2E75B6" w:sz="8" w:space="4"/>
        </w:pBdr>
        <w:spacing w:after="180" w:before="360"/>
      </w:pPr>
      <w:r>
        <w:rPr>
          <w:rFonts w:ascii="Calibri" w:cs="Calibri" w:eastAsia="Calibri" w:hAnsi="Calibri"/>
          <w:b/>
          <w:bCs/>
          <w:color w:val="1B365D"/>
          <w:sz w:val="32"/>
          <w:szCs w:val="32"/>
        </w:rPr>
        <w:t xml:space="preserve">8. Modelo replicable y próximos pasos</w:t>
      </w:r>
    </w:p>
    <w:p>
      <w:pPr>
        <w:spacing w:after="120" w:line="300"/>
        <w:jc w:val="both"/>
      </w:pPr>
      <w:r>
        <w:rPr>
          <w:rFonts w:ascii="Calibri" w:cs="Calibri" w:eastAsia="Calibri" w:hAnsi="Calibri"/>
          <w:b w:val="false"/>
          <w:bCs w:val="false"/>
          <w:i w:val="false"/>
          <w:iCs w:val="false"/>
          <w:color w:val="404040"/>
          <w:sz w:val="22"/>
          <w:szCs w:val="22"/>
        </w:rPr>
        <w:t xml:space="preserve">El caso Universidad de los Andes × Sanofi CHC consolidó un modelo de orquestación que merahki.ai aplica hoy en programas certificados con universidades, sociedades científicas y patrocinadores corporativos en Latinoamérica:</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Producción contra reloj sin sacrificar rigor académico. </w:t>
      </w:r>
      <w:r>
        <w:rPr>
          <w:rFonts w:ascii="Calibri" w:cs="Calibri" w:eastAsia="Calibri" w:hAnsi="Calibri"/>
          <w:b w:val="false"/>
          <w:bCs w:val="false"/>
          <w:i w:val="false"/>
          <w:iCs w:val="false"/>
          <w:color w:val="404040"/>
          <w:sz w:val="22"/>
          <w:szCs w:val="22"/>
        </w:rPr>
        <w:t xml:space="preserve">Capacidad de comprimir el cronograma de diseño-producción-lanzamiento a 8 semanas o menos para programas certificados de educación médica continua.</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Multi-actor sin fricción. </w:t>
      </w:r>
      <w:r>
        <w:rPr>
          <w:rFonts w:ascii="Calibri" w:cs="Calibri" w:eastAsia="Calibri" w:hAnsi="Calibri"/>
          <w:b w:val="false"/>
          <w:bCs w:val="false"/>
          <w:i w:val="false"/>
          <w:iCs w:val="false"/>
          <w:color w:val="404040"/>
          <w:sz w:val="22"/>
          <w:szCs w:val="22"/>
        </w:rPr>
        <w:t xml:space="preserve">Articulación simultánea de universidad, patrocinador corporativo y sociedad científica regional bajo un mismo plan ejecutivo, manteniendo la neutralidad del operador frente a los intereses de cada parte.</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Activos académicos modulares (lego pedagógico). </w:t>
      </w:r>
      <w:r>
        <w:rPr>
          <w:rFonts w:ascii="Calibri" w:cs="Calibri" w:eastAsia="Calibri" w:hAnsi="Calibri"/>
          <w:b w:val="false"/>
          <w:bCs w:val="false"/>
          <w:i w:val="false"/>
          <w:iCs w:val="false"/>
          <w:color w:val="404040"/>
          <w:sz w:val="22"/>
          <w:szCs w:val="22"/>
        </w:rPr>
        <w:t xml:space="preserve">Cada programa producido queda disponible como inventario reutilizable para nuevas audiencias y nuevos ciclos de upskilling y reskilling, reduciendo el costo marginal de los programas siguientes.</w:t>
      </w:r>
    </w:p>
    <w:p>
      <w:pPr>
        <w:pStyle w:val="ListParagraph"/>
        <w:numPr>
          <w:ilvl w:val="0"/>
          <w:numId w:val="2"/>
        </w:numPr>
        <w:spacing w:after="80" w:line="280"/>
      </w:pPr>
      <w:r>
        <w:rPr>
          <w:rFonts w:ascii="Calibri" w:cs="Calibri" w:eastAsia="Calibri" w:hAnsi="Calibri"/>
          <w:b/>
          <w:bCs/>
          <w:i w:val="false"/>
          <w:iCs w:val="false"/>
          <w:color w:val="404040"/>
          <w:sz w:val="22"/>
          <w:szCs w:val="22"/>
        </w:rPr>
        <w:t xml:space="preserve">Credenciales digitales como parte del entregable. </w:t>
      </w:r>
      <w:r>
        <w:rPr>
          <w:rFonts w:ascii="Calibri" w:cs="Calibri" w:eastAsia="Calibri" w:hAnsi="Calibri"/>
          <w:b w:val="false"/>
          <w:bCs w:val="false"/>
          <w:i w:val="false"/>
          <w:iCs w:val="false"/>
          <w:color w:val="404040"/>
          <w:sz w:val="22"/>
          <w:szCs w:val="22"/>
        </w:rPr>
        <w:t xml:space="preserve">Cierre del programa con insignias digitales verificables — una capa que merahki.ai ha potenciado posteriormente a través de su alianza con Pok.tech para credencialización en blockchain bajo el estándar Open Badges 3.0.</w:t>
      </w:r>
    </w:p>
    <w:p>
      <w:pPr>
        <w:spacing w:after="80"/>
      </w:pPr>
      <w:r>
        <w:t xml:space="preserve"/>
      </w:r>
    </w:p>
    <w:p>
      <w:pPr>
        <w:spacing w:after="120" w:line="300"/>
        <w:jc w:val="both"/>
      </w:pPr>
      <w:r>
        <w:rPr>
          <w:rFonts w:ascii="Calibri" w:cs="Calibri" w:eastAsia="Calibri" w:hAnsi="Calibri"/>
          <w:b/>
          <w:bCs/>
          <w:i w:val="false"/>
          <w:iCs w:val="false"/>
          <w:color w:val="404040"/>
          <w:sz w:val="22"/>
          <w:szCs w:val="22"/>
        </w:rPr>
        <w:t xml:space="preserve">Continuidad documentada. </w:t>
      </w:r>
      <w:r>
        <w:rPr>
          <w:rFonts w:ascii="Calibri" w:cs="Calibri" w:eastAsia="Calibri" w:hAnsi="Calibri"/>
          <w:b w:val="false"/>
          <w:bCs w:val="false"/>
          <w:i w:val="false"/>
          <w:iCs w:val="false"/>
          <w:color w:val="404040"/>
          <w:sz w:val="22"/>
          <w:szCs w:val="22"/>
        </w:rPr>
        <w:t xml:space="preserve">La relación con la Facultad de Medicina de la Universidad de los Andes continuó después de 2022 con nuevos programas virtualizados bajo el mismo modelo de orquestación. El portafolio acumulado de programas ha contribuido a un crecimiento aproximado de COP $2.000 millones (~USD $550K) en la facturación de educación continua de la Facultad, según testimonio en video de Juliana González (ver sección 7, Videos del proyecto).</w:t>
      </w:r>
    </w:p>
    <w:p>
      <w:pPr>
        <w:pStyle w:val="Heading1"/>
        <w:pBdr>
          <w:bottom w:val="single" w:color="2E75B6" w:sz="8" w:space="4"/>
        </w:pBdr>
        <w:spacing w:after="180" w:before="360"/>
      </w:pPr>
      <w:r>
        <w:rPr>
          <w:rFonts w:ascii="Calibri" w:cs="Calibri" w:eastAsia="Calibri" w:hAnsi="Calibri"/>
          <w:b/>
          <w:bCs/>
          <w:color w:val="1B365D"/>
          <w:sz w:val="32"/>
          <w:szCs w:val="32"/>
        </w:rPr>
        <w:t xml:space="preserve">Anexo: Activos disponibles</w:t>
      </w:r>
    </w:p>
    <w:p>
      <w:pPr>
        <w:pStyle w:val="ListParagraph"/>
        <w:numPr>
          <w:ilvl w:val="0"/>
          <w:numId w:val="2"/>
        </w:numPr>
        <w:spacing w:after="80" w:line="280"/>
      </w:pPr>
      <w:r>
        <w:rPr>
          <w:rFonts w:ascii="Calibri" w:cs="Calibri" w:eastAsia="Calibri" w:hAnsi="Calibri"/>
          <w:color w:val="404040"/>
          <w:sz w:val="22"/>
          <w:szCs w:val="22"/>
        </w:rPr>
        <w:t xml:space="preserve">Videos oficiales: ver sección 7 » Videos del proyecto, con cards clickeables a los testimonios en Vimeo.</w:t>
      </w:r>
    </w:p>
    <w:p>
      <w:pPr>
        <w:pStyle w:val="ListParagraph"/>
        <w:numPr>
          <w:ilvl w:val="0"/>
          <w:numId w:val="2"/>
        </w:numPr>
        <w:spacing w:after="80" w:line="280"/>
      </w:pPr>
      <w:r>
        <w:rPr>
          <w:rFonts w:ascii="Calibri" w:cs="Calibri" w:eastAsia="Calibri" w:hAnsi="Calibri"/>
          <w:color w:val="404040"/>
          <w:sz w:val="22"/>
          <w:szCs w:val="22"/>
        </w:rPr>
        <w:t xml:space="preserve">Programa virtualizado y publicado en el LMS de la Universidad de los Andes.</w:t>
      </w:r>
    </w:p>
    <w:p>
      <w:pPr>
        <w:pStyle w:val="ListParagraph"/>
        <w:numPr>
          <w:ilvl w:val="0"/>
          <w:numId w:val="2"/>
        </w:numPr>
        <w:spacing w:after="80" w:line="280"/>
      </w:pPr>
      <w:r>
        <w:rPr>
          <w:rFonts w:ascii="Calibri" w:cs="Calibri" w:eastAsia="Calibri" w:hAnsi="Calibri"/>
          <w:color w:val="404040"/>
          <w:sz w:val="22"/>
          <w:szCs w:val="22"/>
        </w:rPr>
        <w:t xml:space="preserve">Sistema de credenciales digitales (insignias) emitidas a los participantes certificados.</w:t>
      </w:r>
    </w:p>
    <w:p>
      <w:pPr>
        <w:pBdr>
          <w:left w:val="single" w:color="F59E0B" w:sz="18" w:space="8"/>
        </w:pBdr>
        <w:shd w:fill="FFF4D6" w:val="clear"/>
        <w:spacing w:after="120" w:before="80" w:line="280"/>
        <w:ind w:left="120"/>
        <w:jc w:val="both"/>
      </w:pPr>
      <w:r>
        <w:rPr>
          <w:rFonts w:ascii="Calibri" w:cs="Calibri" w:eastAsia="Calibri" w:hAnsi="Calibri"/>
          <w:b/>
          <w:bCs/>
          <w:i w:val="false"/>
          <w:iCs w:val="false"/>
          <w:color w:val="B45309"/>
          <w:sz w:val="22"/>
          <w:szCs w:val="22"/>
        </w:rPr>
        <w:t xml:space="preserve">[PLACEHOLDER — Activos adicionales a producir] </w:t>
      </w:r>
      <w:r>
        <w:rPr>
          <w:rFonts w:ascii="Calibri" w:cs="Calibri" w:eastAsia="Calibri" w:hAnsi="Calibri"/>
          <w:b w:val="false"/>
          <w:bCs w:val="false"/>
          <w:i/>
          <w:iCs/>
          <w:color w:val="8A5A00"/>
          <w:sz w:val="22"/>
          <w:szCs w:val="22"/>
        </w:rPr>
        <w:t xml:space="preserve">Solicitar autorización para publicar: capturas del montaje en plataforma, screenshots de la insignia digital, logos institucionales de Universidad de los Andes, Facultad de Medicina, Sanofi CHC y Sociedad Iberoamericana de Microbiota, Probióticos y Prebióticos.</w:t>
      </w:r>
    </w:p>
    <w:p>
      <w:pPr>
        <w:pBdr>
          <w:top w:val="single" w:color="CCCCCC" w:sz="6" w:space="8"/>
        </w:pBdr>
        <w:spacing w:after="120" w:before="600"/>
      </w:pPr>
      <w:r>
        <w:rPr>
          <w:rFonts w:ascii="Calibri" w:cs="Calibri" w:eastAsia="Calibri" w:hAnsi="Calibri"/>
          <w:b/>
          <w:bCs/>
          <w:color w:val="B45309"/>
          <w:sz w:val="18"/>
          <w:szCs w:val="18"/>
        </w:rPr>
        <w:t xml:space="preserve">NOTAS INTERNAS — NO INCLUIR EN VERSIÓN PÚBLICA</w:t>
      </w:r>
    </w:p>
    <w:p>
      <w:pPr>
        <w:spacing w:after="80"/>
        <w:jc w:val="both"/>
      </w:pPr>
      <w:r>
        <w:rPr>
          <w:rFonts w:ascii="Calibri" w:cs="Calibri" w:eastAsia="Calibri" w:hAnsi="Calibri"/>
          <w:b/>
          <w:bCs/>
          <w:i w:val="false"/>
          <w:iCs w:val="false"/>
          <w:color w:val="166534"/>
          <w:sz w:val="20"/>
          <w:szCs w:val="20"/>
        </w:rPr>
        <w:t xml:space="preserve">Gaps resueltos en v3:</w:t>
      </w:r>
    </w:p>
    <w:p>
      <w:pPr>
        <w:pStyle w:val="ListParagraph"/>
        <w:numPr>
          <w:ilvl w:val="0"/>
          <w:numId w:val="2"/>
        </w:numPr>
        <w:spacing w:after="80" w:line="280"/>
      </w:pPr>
      <w:r>
        <w:rPr>
          <w:rFonts w:ascii="Calibri" w:cs="Calibri" w:eastAsia="Calibri" w:hAnsi="Calibri"/>
          <w:color w:val="404040"/>
          <w:sz w:val="22"/>
          <w:szCs w:val="22"/>
        </w:rPr>
        <w:t xml:space="preserve">✓ Trigger event: ventana de 8 semanas (revelado en video y clarificación de cliente).</w:t>
      </w:r>
    </w:p>
    <w:p>
      <w:pPr>
        <w:pStyle w:val="ListParagraph"/>
        <w:numPr>
          <w:ilvl w:val="0"/>
          <w:numId w:val="2"/>
        </w:numPr>
        <w:spacing w:after="80" w:line="280"/>
      </w:pPr>
      <w:r>
        <w:rPr>
          <w:rFonts w:ascii="Calibri" w:cs="Calibri" w:eastAsia="Calibri" w:hAnsi="Calibri"/>
          <w:color w:val="404040"/>
          <w:sz w:val="22"/>
          <w:szCs w:val="22"/>
        </w:rPr>
        <w:t xml:space="preserve">✓ Criterios de decisión: orquestación bajo plazo agresivo + virtualización modular + reportería en tiempo real.</w:t>
      </w:r>
    </w:p>
    <w:p>
      <w:pPr>
        <w:pStyle w:val="ListParagraph"/>
        <w:numPr>
          <w:ilvl w:val="0"/>
          <w:numId w:val="2"/>
        </w:numPr>
        <w:spacing w:after="80" w:line="280"/>
      </w:pPr>
      <w:r>
        <w:rPr>
          <w:rFonts w:ascii="Calibri" w:cs="Calibri" w:eastAsia="Calibri" w:hAnsi="Calibri"/>
          <w:color w:val="404040"/>
          <w:sz w:val="22"/>
          <w:szCs w:val="22"/>
        </w:rPr>
        <w:t xml:space="preserve">✓ Testimonios reales con nombre, rol y país (seis voces incorporadas).</w:t>
      </w:r>
    </w:p>
    <w:p>
      <w:pPr>
        <w:pStyle w:val="ListParagraph"/>
        <w:numPr>
          <w:ilvl w:val="0"/>
          <w:numId w:val="2"/>
        </w:numPr>
        <w:spacing w:after="80" w:line="280"/>
      </w:pPr>
      <w:r>
        <w:rPr>
          <w:rFonts w:ascii="Calibri" w:cs="Calibri" w:eastAsia="Calibri" w:hAnsi="Calibri"/>
          <w:color w:val="404040"/>
          <w:sz w:val="22"/>
          <w:szCs w:val="22"/>
        </w:rPr>
        <w:t xml:space="preserve">✓ Métrica de impacto de negocio: COP $2.000 millones / ~USD $550K acumulados en facturación de educación continua de la Facultad (atribuibles al portafolio completo de programas que merahki.ai ha virtualizado para Uniandes, no exclusivamente a microbiota).</w:t>
      </w:r>
    </w:p>
    <w:p>
      <w:pPr>
        <w:pStyle w:val="ListParagraph"/>
        <w:numPr>
          <w:ilvl w:val="0"/>
          <w:numId w:val="2"/>
        </w:numPr>
        <w:spacing w:after="80" w:line="280"/>
      </w:pPr>
      <w:r>
        <w:rPr>
          <w:rFonts w:ascii="Calibri" w:cs="Calibri" w:eastAsia="Calibri" w:hAnsi="Calibri"/>
          <w:color w:val="404040"/>
          <w:sz w:val="22"/>
          <w:szCs w:val="22"/>
        </w:rPr>
        <w:t xml:space="preserve">✓ Continuidad de relación post-2022: documentada vía testimonio de Juliana González.</w:t>
      </w:r>
    </w:p>
    <w:p>
      <w:pPr>
        <w:pStyle w:val="ListParagraph"/>
        <w:numPr>
          <w:ilvl w:val="0"/>
          <w:numId w:val="2"/>
        </w:numPr>
        <w:spacing w:after="80" w:line="280"/>
      </w:pPr>
      <w:r>
        <w:rPr>
          <w:rFonts w:ascii="Calibri" w:cs="Calibri" w:eastAsia="Calibri" w:hAnsi="Calibri"/>
          <w:color w:val="404040"/>
          <w:sz w:val="22"/>
          <w:szCs w:val="22"/>
        </w:rPr>
        <w:t xml:space="preserve">✓ Videos oficiales: dos links de Vimeo incorporados como cards en sección 7.</w:t>
      </w:r>
    </w:p>
    <w:p>
      <w:pPr>
        <w:spacing w:after="120"/>
      </w:pPr>
      <w:r>
        <w:t xml:space="preserve"/>
      </w:r>
    </w:p>
    <w:p>
      <w:pPr>
        <w:spacing w:after="80"/>
        <w:jc w:val="both"/>
      </w:pPr>
      <w:r>
        <w:rPr>
          <w:rFonts w:ascii="Calibri" w:cs="Calibri" w:eastAsia="Calibri" w:hAnsi="Calibri"/>
          <w:b/>
          <w:bCs/>
          <w:i w:val="false"/>
          <w:iCs w:val="false"/>
          <w:color w:val="404040"/>
          <w:sz w:val="20"/>
          <w:szCs w:val="20"/>
        </w:rPr>
        <w:t xml:space="preserve">Gaps que aún conviene cerrar antes de publicar externamente:</w:t>
      </w:r>
    </w:p>
    <w:p>
      <w:pPr>
        <w:pStyle w:val="ListParagraph"/>
        <w:numPr>
          <w:ilvl w:val="0"/>
          <w:numId w:val="2"/>
        </w:numPr>
        <w:spacing w:after="80" w:line="280"/>
      </w:pPr>
      <w:r>
        <w:rPr>
          <w:rFonts w:ascii="Calibri" w:cs="Calibri" w:eastAsia="Calibri" w:hAnsi="Calibri"/>
          <w:color w:val="404040"/>
          <w:sz w:val="22"/>
          <w:szCs w:val="22"/>
        </w:rPr>
        <w:t xml:space="preserve">Porcentaje específico de finalización del programa de microbiota (sigue como “alto” — vale la pena tener una cifra puntual).</w:t>
      </w:r>
    </w:p>
    <w:p>
      <w:pPr>
        <w:pStyle w:val="ListParagraph"/>
        <w:numPr>
          <w:ilvl w:val="0"/>
          <w:numId w:val="2"/>
        </w:numPr>
        <w:spacing w:after="80" w:line="280"/>
      </w:pPr>
      <w:r>
        <w:rPr>
          <w:rFonts w:ascii="Calibri" w:cs="Calibri" w:eastAsia="Calibri" w:hAnsi="Calibri"/>
          <w:color w:val="404040"/>
          <w:sz w:val="22"/>
          <w:szCs w:val="22"/>
        </w:rPr>
        <w:t xml:space="preserve">Confirmar si la cifra de COP $2.000 millones cubre microbiota + otros programas. Si es así, el texto actual ya lo refleja honestamente. Si Juliana en el video atribuye una porción específica al programa de microbiota, refinar la atribución.</w:t>
      </w:r>
    </w:p>
    <w:p>
      <w:pPr>
        <w:pStyle w:val="ListParagraph"/>
        <w:numPr>
          <w:ilvl w:val="0"/>
          <w:numId w:val="2"/>
        </w:numPr>
        <w:spacing w:after="80" w:line="280"/>
      </w:pPr>
      <w:r>
        <w:rPr>
          <w:rFonts w:ascii="Calibri" w:cs="Calibri" w:eastAsia="Calibri" w:hAnsi="Calibri"/>
          <w:color w:val="404040"/>
          <w:sz w:val="22"/>
          <w:szCs w:val="22"/>
        </w:rPr>
        <w:t xml:space="preserve">Confirmar rol y nombre exacto de Yanindore Rodríguez (transcripción de video).</w:t>
      </w:r>
    </w:p>
    <w:p>
      <w:pPr>
        <w:pStyle w:val="ListParagraph"/>
        <w:numPr>
          <w:ilvl w:val="0"/>
          <w:numId w:val="2"/>
        </w:numPr>
        <w:spacing w:after="80" w:line="280"/>
      </w:pPr>
      <w:r>
        <w:rPr>
          <w:rFonts w:ascii="Calibri" w:cs="Calibri" w:eastAsia="Calibri" w:hAnsi="Calibri"/>
          <w:color w:val="404040"/>
          <w:sz w:val="22"/>
          <w:szCs w:val="22"/>
        </w:rPr>
        <w:t xml:space="preserve">Estado de Care-ED: si fue aliado real en alguno de los tracks, agregarlo en sección 1 como cuarto aliado. Si no, dejarlo fuera definitivamente.</w:t>
      </w:r>
    </w:p>
    <w:p>
      <w:pPr>
        <w:pStyle w:val="ListParagraph"/>
        <w:numPr>
          <w:ilvl w:val="0"/>
          <w:numId w:val="2"/>
        </w:numPr>
        <w:spacing w:after="80" w:line="280"/>
      </w:pPr>
      <w:r>
        <w:rPr>
          <w:rFonts w:ascii="Calibri" w:cs="Calibri" w:eastAsia="Calibri" w:hAnsi="Calibri"/>
          <w:color w:val="404040"/>
          <w:sz w:val="22"/>
          <w:szCs w:val="22"/>
        </w:rPr>
        <w:t xml:space="preserve">Autorizaciones formales de uso de marca y de testimonios de pacientes-médicos identificados (Dra. Gina Vivas, Dra. Carolina Ortiz) para uso comercial.</w:t>
      </w:r>
    </w:p>
    <w:p>
      <w:pPr>
        <w:pStyle w:val="ListParagraph"/>
        <w:numPr>
          <w:ilvl w:val="0"/>
          <w:numId w:val="2"/>
        </w:numPr>
        <w:spacing w:after="80" w:line="280"/>
      </w:pPr>
      <w:r>
        <w:rPr>
          <w:rFonts w:ascii="Calibri" w:cs="Calibri" w:eastAsia="Calibri" w:hAnsi="Calibri"/>
          <w:color w:val="404040"/>
          <w:sz w:val="22"/>
          <w:szCs w:val="22"/>
        </w:rPr>
        <w:t xml:space="preserve">Si quieres versionar el caso por audiencia (versión farma-only, versión universidad-only, versión one-pager visual), avísame.</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07070"/>
        <w:sz w:val="16"/>
        <w:szCs w:val="16"/>
      </w:rPr>
      <w:t xml:space="preserve">merahki.ai  ·  Education-Led Growth  ·  </w:t>
    </w:r>
    <w:r>
      <w:rPr>
        <w:rFonts w:ascii="Calibri" w:cs="Calibri" w:eastAsia="Calibri" w:hAnsi="Calibri"/>
        <w:color w:val="707070"/>
        <w:sz w:val="16"/>
        <w:szCs w:val="16"/>
      </w:rPr>
      <w:t xml:space="preserve">Página </w:t>
    </w:r>
    <w:r>
      <w:rPr>
        <w:rFonts w:ascii="Calibri" w:cs="Calibri" w:eastAsia="Calibri" w:hAnsi="Calibri"/>
        <w:color w:val="707070"/>
        <w:sz w:val="16"/>
        <w:szCs w:val="16"/>
      </w:rPr>
      <w:fldChar w:fldCharType="begin"/>
      <w:instrText xml:space="preserve">PAGE</w:instrText>
      <w:fldChar w:fldCharType="separate"/>
      <w:fldChar w:fldCharType="end"/>
    </w:r>
    <w:r>
      <w:rPr>
        <w:rFonts w:ascii="Calibri" w:cs="Calibri" w:eastAsia="Calibri" w:hAnsi="Calibri"/>
        <w:color w:val="707070"/>
        <w:sz w:val="16"/>
        <w:szCs w:val="16"/>
      </w:rPr>
      <w:t xml:space="preserve"> de </w:t>
    </w:r>
    <w:r>
      <w:rPr>
        <w:rFonts w:ascii="Calibri" w:cs="Calibri" w:eastAsia="Calibri" w:hAnsi="Calibri"/>
        <w:color w:val="70707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707070"/>
        <w:sz w:val="16"/>
        <w:szCs w:val="16"/>
      </w:rPr>
      <w:t xml:space="preserve">merahki.ai  ·  Case Study  ·  Uniandes × Sanofi CHC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40404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B365D"/>
      <w:sz w:val="32"/>
      <w:szCs w:val="32"/>
    </w:rPr>
  </w:style>
  <w:style w:type="paragraph" w:styleId="Heading2">
    <w:name w:val="Heading 2"/>
    <w:basedOn w:val="Normal"/>
    <w:next w:val="Normal"/>
    <w:qFormat/>
    <w:pPr>
      <w:spacing w:after="100" w:before="240"/>
      <w:outlineLvl w:val="1"/>
    </w:pPr>
    <w:rPr>
      <w:rFonts w:ascii="Calibri" w:cs="Calibri" w:eastAsia="Calibri" w:hAnsi="Calibri"/>
      <w:b/>
      <w:bCs/>
      <w:color w:val="1B365D"/>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qa_no4fips_h2r8s7_lwv" Type="http://schemas.openxmlformats.org/officeDocument/2006/relationships/hyperlink" Target="https://vimeo.com/1004629886?share=copy&amp;fl=sv&amp;fe=ci" TargetMode="External"/><Relationship Id="rIdymylzahkb230mjd1rz7hb" Type="http://schemas.openxmlformats.org/officeDocument/2006/relationships/hyperlink" Target="https://vimeo.com/1060513524?fl=tl&amp;fe=ec"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 Uniandes × Sanofi CHC — Microbiota 2022</dc:title>
  <dc:creator>merahki.ai</dc:creator>
  <dc:description>Producción audiovisual y orquestación de programa certificado de educación médica continua</dc:description>
  <cp:lastModifiedBy>Un-named</cp:lastModifiedBy>
  <cp:revision>1</cp:revision>
  <dcterms:created xsi:type="dcterms:W3CDTF">2026-06-07T22:21:36.508Z</dcterms:created>
  <dcterms:modified xsi:type="dcterms:W3CDTF">2026-06-07T22:21:36.508Z</dcterms:modified>
</cp:coreProperties>
</file>

<file path=docProps/custom.xml><?xml version="1.0" encoding="utf-8"?>
<Properties xmlns="http://schemas.openxmlformats.org/officeDocument/2006/custom-properties" xmlns:vt="http://schemas.openxmlformats.org/officeDocument/2006/docPropsVTypes"/>
</file>